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82D593" w14:textId="6E457222" w:rsidR="00D72425" w:rsidRPr="003C08D2" w:rsidRDefault="00D72425" w:rsidP="006D7F93">
      <w:pPr>
        <w:spacing w:line="276" w:lineRule="auto"/>
        <w:jc w:val="center"/>
        <w:rPr>
          <w:rFonts w:ascii="Palatino Linotype" w:hAnsi="Palatino Linotype"/>
          <w:b/>
          <w:bCs/>
        </w:rPr>
      </w:pPr>
      <w:r w:rsidRPr="003C08D2">
        <w:rPr>
          <w:rFonts w:ascii="Palatino Linotype" w:hAnsi="Palatino Linotype"/>
          <w:b/>
          <w:bCs/>
        </w:rPr>
        <w:t>DIGITAL SOVEREIGNTY AND GLOBAL AI GOVERNANCE: REIMAGINING INTERNATIONAL LAW FOR THE TWENTY-FIRST CENTURY</w:t>
      </w:r>
    </w:p>
    <w:p w14:paraId="351F97B0" w14:textId="77777777" w:rsidR="00E63FCB" w:rsidRPr="006D7F93" w:rsidRDefault="00E63FCB" w:rsidP="006D7F93">
      <w:pPr>
        <w:spacing w:line="276" w:lineRule="auto"/>
        <w:ind w:right="360"/>
        <w:jc w:val="center"/>
        <w:rPr>
          <w:rFonts w:ascii="Palatino Linotype" w:hAnsi="Palatino Linotype"/>
        </w:rPr>
      </w:pPr>
    </w:p>
    <w:p w14:paraId="258169E4" w14:textId="3EDC58A0" w:rsidR="003C08D2" w:rsidRDefault="003C08D2" w:rsidP="003C08D2">
      <w:pPr>
        <w:jc w:val="center"/>
        <w:rPr>
          <w:rFonts w:ascii="Palatino Linotype" w:hAnsi="Palatino Linotype"/>
        </w:rPr>
      </w:pPr>
      <w:r w:rsidRPr="003C08D2">
        <w:rPr>
          <w:rFonts w:ascii="Palatino Linotype" w:hAnsi="Palatino Linotype"/>
        </w:rPr>
        <w:t>Ririn Fauziyah, Nor Salam</w:t>
      </w:r>
    </w:p>
    <w:p w14:paraId="49919B31" w14:textId="3A2D866F" w:rsidR="003C08D2" w:rsidRDefault="003C08D2" w:rsidP="003C08D2">
      <w:pPr>
        <w:jc w:val="center"/>
        <w:rPr>
          <w:rFonts w:ascii="Palatino Linotype" w:hAnsi="Palatino Linotype"/>
        </w:rPr>
      </w:pPr>
      <w:r w:rsidRPr="003C08D2">
        <w:rPr>
          <w:rFonts w:ascii="Palatino Linotype" w:hAnsi="Palatino Linotype"/>
        </w:rPr>
        <w:t>Universitas Nahdlatul Ulama Sunan Giri, IAI Al-Yasini Pasuruan</w:t>
      </w:r>
    </w:p>
    <w:p w14:paraId="3BDB76DD" w14:textId="1020F760" w:rsidR="001F1D1A" w:rsidRPr="006D7F93" w:rsidRDefault="003C08D2" w:rsidP="003C08D2">
      <w:pPr>
        <w:jc w:val="center"/>
        <w:rPr>
          <w:rFonts w:ascii="Palatino Linotype" w:hAnsi="Palatino Linotype"/>
        </w:rPr>
      </w:pPr>
      <w:r w:rsidRPr="003C08D2">
        <w:rPr>
          <w:rFonts w:ascii="Palatino Linotype" w:hAnsi="Palatino Linotype"/>
        </w:rPr>
        <w:t xml:space="preserve"> </w:t>
      </w:r>
      <w:hyperlink r:id="rId8" w:history="1">
        <w:r w:rsidRPr="00177029">
          <w:rPr>
            <w:rStyle w:val="Hyperlink"/>
            <w:rFonts w:ascii="Palatino Linotype" w:hAnsi="Palatino Linotype"/>
          </w:rPr>
          <w:t>ririn@unugiri.ac.id</w:t>
        </w:r>
      </w:hyperlink>
      <w:r>
        <w:rPr>
          <w:rFonts w:ascii="Palatino Linotype" w:hAnsi="Palatino Linotype"/>
        </w:rPr>
        <w:t>,</w:t>
      </w:r>
      <w:r w:rsidRPr="003C08D2">
        <w:rPr>
          <w:rFonts w:ascii="Palatino Linotype" w:hAnsi="Palatino Linotype"/>
        </w:rPr>
        <w:t xml:space="preserve"> </w:t>
      </w:r>
      <w:hyperlink r:id="rId9" w:history="1">
        <w:r w:rsidRPr="00177029">
          <w:rPr>
            <w:rStyle w:val="Hyperlink"/>
            <w:rFonts w:ascii="Palatino Linotype" w:hAnsi="Palatino Linotype"/>
          </w:rPr>
          <w:t>norsalam@stai-alyasini.ac.i</w:t>
        </w:r>
        <w:r w:rsidRPr="00177029">
          <w:rPr>
            <w:rStyle w:val="Hyperlink"/>
            <w:rFonts w:ascii="Palatino Linotype" w:hAnsi="Palatino Linotype"/>
          </w:rPr>
          <w:t>d</w:t>
        </w:r>
      </w:hyperlink>
      <w:r>
        <w:rPr>
          <w:rFonts w:ascii="Palatino Linotype" w:hAnsi="Palatino Linotype"/>
        </w:rPr>
        <w:t xml:space="preserve"> </w:t>
      </w:r>
    </w:p>
    <w:p w14:paraId="6047A72A" w14:textId="77777777" w:rsidR="003C08D2" w:rsidRDefault="003C08D2" w:rsidP="006D7F93">
      <w:pPr>
        <w:jc w:val="center"/>
        <w:rPr>
          <w:rFonts w:ascii="Palatino Linotype" w:hAnsi="Palatino Linotype"/>
        </w:rPr>
      </w:pPr>
    </w:p>
    <w:p w14:paraId="25450617" w14:textId="11C22665" w:rsidR="00A575AD" w:rsidRPr="003C08D2" w:rsidRDefault="00A575AD" w:rsidP="006D7F93">
      <w:pPr>
        <w:jc w:val="center"/>
        <w:rPr>
          <w:rFonts w:ascii="Palatino Linotype" w:hAnsi="Palatino Linotype"/>
          <w:b/>
          <w:bCs/>
        </w:rPr>
      </w:pPr>
      <w:r w:rsidRPr="003C08D2">
        <w:rPr>
          <w:rFonts w:ascii="Palatino Linotype" w:hAnsi="Palatino Linotype"/>
          <w:b/>
          <w:bCs/>
        </w:rPr>
        <w:t>Abstract</w:t>
      </w:r>
    </w:p>
    <w:p w14:paraId="1646B970" w14:textId="69263BF3" w:rsidR="006D7F93" w:rsidRPr="006D7F93" w:rsidRDefault="006D7F93" w:rsidP="00745627">
      <w:pPr>
        <w:jc w:val="both"/>
        <w:rPr>
          <w:rFonts w:ascii="Palatino Linotype" w:hAnsi="Palatino Linotype"/>
        </w:rPr>
      </w:pPr>
      <w:r w:rsidRPr="006D7F93">
        <w:rPr>
          <w:rFonts w:ascii="Palatino Linotype" w:hAnsi="Palatino Linotype"/>
        </w:rPr>
        <w:t>Artificial intelligence (AI) has transformed global society by reshaping economic activities, public governance, security, communication, and legal relations beyond territorial boundaries. While AI operates through transnational digital ecosystems, contemporary international law remains largely grounded in state sovereignty, territorial jurisdiction, and state responsibility, creating a governance gap between borderless technological development and territorially fragmented legal regulation. This study aims to reconstruct the conceptual foundations of international law by proposing an integrated governance model for regulating artificial intelligence in the twenty-first century. Employing normative legal research with a qualitative library-based approach, the study critically examines international legal doctrines, contemporary scholarship, and global policy instruments concerning digital sovereignty, AI governance, global governance, and international legal responsibility. The analysis demonstrates that existing approaches including state sovereignty, digital sovereignty, AI ethics, and global governance provide valuable normative insights but remain conceptually fragmented and insufficient to address the multidimensional challenges of artificial intelligence. In response, this article develops the Integrated Global AI Governance Framework (IGAGF), comprising five interconnected dimensions: digital sovereignty, shared international responsibility, multistakeholder governance, AI accountability, and global human protection. The framework reconceptualizes sovereignty as a cooperative principle operating within an integrated international governance architecture rather than as an exclusive basis of regulatory authority. By repositioning international law from a predominantly state-centred system toward a collaborative governance model, the proposed framework offers a new theoretical foundation for regulating borderless AI while promoting legal certainty, accountability, international cooperation, and sustainable human-centred development.</w:t>
      </w:r>
    </w:p>
    <w:p w14:paraId="6E8B6837" w14:textId="6D1758C9" w:rsidR="00D72425" w:rsidRPr="006D7F93" w:rsidRDefault="00D72425" w:rsidP="006D7F93">
      <w:pPr>
        <w:jc w:val="both"/>
        <w:rPr>
          <w:rFonts w:ascii="Palatino Linotype" w:hAnsi="Palatino Linotype"/>
        </w:rPr>
      </w:pPr>
      <w:r w:rsidRPr="003C08D2">
        <w:rPr>
          <w:rFonts w:ascii="Palatino Linotype" w:hAnsi="Palatino Linotype"/>
          <w:b/>
          <w:bCs/>
        </w:rPr>
        <w:t>Keywords</w:t>
      </w:r>
      <w:r w:rsidRPr="006D7F93">
        <w:rPr>
          <w:rFonts w:ascii="Palatino Linotype" w:hAnsi="Palatino Linotype"/>
        </w:rPr>
        <w:t>: artificial intelligence; international law; digital sovereignty; global AI governance; multistakeholder governance.</w:t>
      </w:r>
    </w:p>
    <w:p w14:paraId="45D4854B" w14:textId="77777777" w:rsidR="00A575AD" w:rsidRDefault="00A575AD" w:rsidP="006D7F93">
      <w:pPr>
        <w:spacing w:line="276" w:lineRule="auto"/>
        <w:jc w:val="both"/>
        <w:rPr>
          <w:rFonts w:ascii="Palatino Linotype" w:hAnsi="Palatino Linotype"/>
        </w:rPr>
      </w:pPr>
    </w:p>
    <w:p w14:paraId="790F7F08" w14:textId="77777777" w:rsidR="003C08D2" w:rsidRPr="006D7F93" w:rsidRDefault="003C08D2" w:rsidP="006D7F93">
      <w:pPr>
        <w:spacing w:line="276" w:lineRule="auto"/>
        <w:jc w:val="both"/>
        <w:rPr>
          <w:rFonts w:ascii="Palatino Linotype" w:hAnsi="Palatino Linotype"/>
        </w:rPr>
      </w:pPr>
    </w:p>
    <w:p w14:paraId="050A64CB" w14:textId="77777777" w:rsidR="00A575AD" w:rsidRPr="004C0E93" w:rsidRDefault="00A575AD" w:rsidP="006D7F93">
      <w:pPr>
        <w:spacing w:line="276" w:lineRule="auto"/>
        <w:jc w:val="both"/>
        <w:rPr>
          <w:rFonts w:ascii="Palatino Linotype" w:hAnsi="Palatino Linotype"/>
          <w:b/>
          <w:bCs/>
        </w:rPr>
      </w:pPr>
      <w:r w:rsidRPr="004C0E93">
        <w:rPr>
          <w:rFonts w:ascii="Palatino Linotype" w:hAnsi="Palatino Linotype"/>
          <w:b/>
          <w:bCs/>
        </w:rPr>
        <w:lastRenderedPageBreak/>
        <w:t>Introduction</w:t>
      </w:r>
    </w:p>
    <w:p w14:paraId="5D4AD52A" w14:textId="77777777" w:rsidR="004C0E93" w:rsidRDefault="00637B3C" w:rsidP="004C0E93">
      <w:pPr>
        <w:spacing w:line="276" w:lineRule="auto"/>
        <w:ind w:firstLine="720"/>
        <w:jc w:val="both"/>
        <w:rPr>
          <w:rFonts w:ascii="Palatino Linotype" w:hAnsi="Palatino Linotype"/>
        </w:rPr>
      </w:pPr>
      <w:r w:rsidRPr="00637B3C">
        <w:rPr>
          <w:rFonts w:ascii="Palatino Linotype" w:hAnsi="Palatino Linotype"/>
        </w:rPr>
        <w:t>Artificial intelligence (AI) has rapidly evolved from a supporting technological innovation into a transformative force reshaping virtually every dimension of contemporary society</w:t>
      </w:r>
      <w:r w:rsidR="004C0E93">
        <w:rPr>
          <w:rFonts w:ascii="Palatino Linotype" w:hAnsi="Palatino Linotype"/>
        </w:rPr>
        <w:t xml:space="preserve"> </w:t>
      </w:r>
      <w:r w:rsidRPr="004C0E93">
        <w:rPr>
          <w:rFonts w:ascii="Palatino Linotype" w:hAnsi="Palatino Linotype"/>
        </w:rPr>
        <w:t>(Aflatounian et al., 2026)</w:t>
      </w:r>
      <w:r w:rsidRPr="00637B3C">
        <w:rPr>
          <w:rFonts w:ascii="Palatino Linotype" w:hAnsi="Palatino Linotype"/>
        </w:rPr>
        <w:t>. Unlike previous waves of digital technologies that primarily enhanced human productivity, modern AI systems possess unprecedented capabilities to generate content, make autonomous decisions, process enormous volumes of data, predict behavioral patterns, and perform complex cognitive functions that were once considered exclusively human</w:t>
      </w:r>
      <w:r w:rsidR="004C0E93">
        <w:rPr>
          <w:rFonts w:ascii="Palatino Linotype" w:hAnsi="Palatino Linotype"/>
        </w:rPr>
        <w:t xml:space="preserve"> </w:t>
      </w:r>
      <w:r w:rsidRPr="004C0E93">
        <w:rPr>
          <w:rFonts w:ascii="Palatino Linotype" w:hAnsi="Palatino Linotype"/>
        </w:rPr>
        <w:t>(Abrardi et al., 2025)</w:t>
      </w:r>
      <w:r w:rsidRPr="00637B3C">
        <w:rPr>
          <w:rFonts w:ascii="Palatino Linotype" w:hAnsi="Palatino Linotype"/>
        </w:rPr>
        <w:t>. These capabilities have fundamentally altered economic production, financial services, healthcare, education, public administration, military operations, and judicial decision-making. The global proliferation of generative AI, foundation models, autonomous systems, and machine-learning applications has accelerated digital interconnectedness at a scale never before experienced in legal history</w:t>
      </w:r>
      <w:r w:rsidR="004C0E93">
        <w:rPr>
          <w:rFonts w:ascii="Palatino Linotype" w:hAnsi="Palatino Linotype"/>
        </w:rPr>
        <w:t xml:space="preserve"> </w:t>
      </w:r>
      <w:r w:rsidRPr="004C0E93">
        <w:rPr>
          <w:rFonts w:ascii="Palatino Linotype" w:hAnsi="Palatino Linotype"/>
        </w:rPr>
        <w:t>(Mansour et al., 2026)</w:t>
      </w:r>
      <w:r w:rsidRPr="00637B3C">
        <w:rPr>
          <w:rFonts w:ascii="Palatino Linotype" w:hAnsi="Palatino Linotype"/>
        </w:rPr>
        <w:t>. AI systems are no longer confined within national borders; instead, they operate through transnational digital infrastructures, cloud computing networks, cross-border data ecosystems, and globally distributed computational architectures. Consequently, AI has transformed from a purely technological issue into a matter of international governance that directly affects state sovereignty, economic stability, cybersecurity, international trade, human rights, democratic governance, and global security</w:t>
      </w:r>
      <w:r w:rsidR="004C0E93">
        <w:rPr>
          <w:rFonts w:ascii="Palatino Linotype" w:hAnsi="Palatino Linotype"/>
        </w:rPr>
        <w:t xml:space="preserve"> </w:t>
      </w:r>
      <w:r w:rsidRPr="004C0E93">
        <w:rPr>
          <w:rFonts w:ascii="Palatino Linotype" w:hAnsi="Palatino Linotype"/>
        </w:rPr>
        <w:t>(Almakaty, 2026)</w:t>
      </w:r>
      <w:r w:rsidRPr="00637B3C">
        <w:rPr>
          <w:rFonts w:ascii="Palatino Linotype" w:hAnsi="Palatino Linotype"/>
        </w:rPr>
        <w:t>. While technological innovation increasingly transcends territorial boundaries, international law continues to rely predominantly on state-centred principles developed in an era when legal authority was closely associated with territorial jurisdiction and clearly identifiable state actors</w:t>
      </w:r>
      <w:r w:rsidR="004C0E93">
        <w:rPr>
          <w:rFonts w:ascii="Palatino Linotype" w:hAnsi="Palatino Linotype"/>
        </w:rPr>
        <w:t xml:space="preserve"> </w:t>
      </w:r>
      <w:r w:rsidRPr="004C0E93">
        <w:rPr>
          <w:rFonts w:ascii="Palatino Linotype" w:hAnsi="Palatino Linotype"/>
        </w:rPr>
        <w:t>(Md, 2025)</w:t>
      </w:r>
      <w:r w:rsidRPr="00637B3C">
        <w:rPr>
          <w:rFonts w:ascii="Palatino Linotype" w:hAnsi="Palatino Linotype"/>
        </w:rPr>
        <w:t>. This divergence has created an unprecedented governance dilemma in which the global operation of AI increasingly exceeds the regulatory capacity of territorially fragmented legal systems. As AI continues to influence legal relationships across jurisdictions, the central question is no longer whether AI should be regulated but whether existing international legal structures remain capable of governing technologies whose operation is inherently borderless.</w:t>
      </w:r>
    </w:p>
    <w:p w14:paraId="6721A433" w14:textId="77777777" w:rsidR="004C0E93" w:rsidRDefault="00637B3C" w:rsidP="004C0E93">
      <w:pPr>
        <w:spacing w:line="276" w:lineRule="auto"/>
        <w:ind w:firstLine="720"/>
        <w:jc w:val="both"/>
        <w:rPr>
          <w:rFonts w:ascii="Palatino Linotype" w:hAnsi="Palatino Linotype"/>
        </w:rPr>
      </w:pPr>
      <w:r w:rsidRPr="00637B3C">
        <w:rPr>
          <w:rFonts w:ascii="Palatino Linotype" w:hAnsi="Palatino Linotype"/>
        </w:rPr>
        <w:t>The regulatory response to artificial intelligence has largely developed through fragmented national initiatives reflecting diverse political priorities, constitutional traditions, economic interests, and conceptions of digital sovereignty</w:t>
      </w:r>
      <w:r w:rsidR="004C0E93">
        <w:rPr>
          <w:rFonts w:ascii="Palatino Linotype" w:hAnsi="Palatino Linotype"/>
        </w:rPr>
        <w:t xml:space="preserve"> </w:t>
      </w:r>
      <w:r w:rsidRPr="004C0E93">
        <w:rPr>
          <w:rFonts w:ascii="Palatino Linotype" w:hAnsi="Palatino Linotype"/>
        </w:rPr>
        <w:t>(Moynihan, 2026)</w:t>
      </w:r>
      <w:r w:rsidRPr="00637B3C">
        <w:rPr>
          <w:rFonts w:ascii="Palatino Linotype" w:hAnsi="Palatino Linotype"/>
        </w:rPr>
        <w:t xml:space="preserve">. The European Union has adopted the AI Act as the world's first comprehensive risk-based legislative framework governing artificial intelligence, emphasizing fundamental </w:t>
      </w:r>
      <w:r w:rsidRPr="00637B3C">
        <w:rPr>
          <w:rFonts w:ascii="Palatino Linotype" w:hAnsi="Palatino Linotype"/>
        </w:rPr>
        <w:lastRenderedPageBreak/>
        <w:t>rights, transparency, accountability, and proportional regulation according to levels of technological risk</w:t>
      </w:r>
      <w:r w:rsidR="004C0E93">
        <w:rPr>
          <w:rFonts w:ascii="Palatino Linotype" w:hAnsi="Palatino Linotype"/>
        </w:rPr>
        <w:t xml:space="preserve"> </w:t>
      </w:r>
      <w:r w:rsidRPr="004C0E93">
        <w:rPr>
          <w:rFonts w:ascii="Palatino Linotype" w:hAnsi="Palatino Linotype"/>
        </w:rPr>
        <w:t>(Mansour et al., 2026; Olawale, 2026)</w:t>
      </w:r>
      <w:r w:rsidRPr="00637B3C">
        <w:rPr>
          <w:rFonts w:ascii="Palatino Linotype" w:hAnsi="Palatino Linotype"/>
        </w:rPr>
        <w:t xml:space="preserve"> The United States has primarily relied upon executive policies, sector-specific regulation, voluntary standards, and innovation-oriented governance that seek to balance technological competitiveness with public safety. China has introduced an extensive body of administrative regulations governing algorithmic recommendation systems, generative AI services, deep synthesis technologies, and platform governance within a broader strategy emphasizing cyber sovereignty and state supervision. At the international level, UNESCO has adopted the Recommendation on the Ethics of Artificial Intelligence, the Council of Europe has finalized the Framework Convention on Artificial Intelligence and Human Rights, Democracy and the Rule of Law, while the United Nations has intensified discussions concerning international AI governance through the High-Level Advisory Body on Artificial </w:t>
      </w:r>
      <w:proofErr w:type="gramStart"/>
      <w:r w:rsidRPr="00637B3C">
        <w:rPr>
          <w:rFonts w:ascii="Palatino Linotype" w:hAnsi="Palatino Linotype"/>
        </w:rPr>
        <w:t>Intelligence</w:t>
      </w:r>
      <w:r w:rsidRPr="004C0E93">
        <w:rPr>
          <w:rFonts w:ascii="Palatino Linotype" w:hAnsi="Palatino Linotype"/>
        </w:rPr>
        <w:t>(</w:t>
      </w:r>
      <w:proofErr w:type="gramEnd"/>
      <w:r w:rsidRPr="004C0E93">
        <w:rPr>
          <w:rFonts w:ascii="Palatino Linotype" w:hAnsi="Palatino Linotype"/>
        </w:rPr>
        <w:t>Truby et al., 2026)</w:t>
      </w:r>
      <w:r w:rsidRPr="00637B3C">
        <w:rPr>
          <w:rFonts w:ascii="Palatino Linotype" w:hAnsi="Palatino Linotype"/>
        </w:rPr>
        <w:t xml:space="preserve">. Despite these significant developments, regulatory approaches remain highly diverse in their legal philosophies, institutional mechanisms, definitions of AI, liability standards, enforcement strategies, and approaches to risk management. Such diversity reflects legitimate national differences, yet it simultaneously generates regulatory fragmentation, overlapping jurisdictional claims, inconsistent standards of accountability, and uncertainty concerning responsibility for transnational AI </w:t>
      </w:r>
      <w:proofErr w:type="gramStart"/>
      <w:r w:rsidRPr="00637B3C">
        <w:rPr>
          <w:rFonts w:ascii="Palatino Linotype" w:hAnsi="Palatino Linotype"/>
        </w:rPr>
        <w:t>activities</w:t>
      </w:r>
      <w:r w:rsidRPr="004C0E93">
        <w:rPr>
          <w:rFonts w:ascii="Palatino Linotype" w:hAnsi="Palatino Linotype"/>
        </w:rPr>
        <w:t>(</w:t>
      </w:r>
      <w:proofErr w:type="gramEnd"/>
      <w:r w:rsidRPr="004C0E93">
        <w:rPr>
          <w:rFonts w:ascii="Palatino Linotype" w:hAnsi="Palatino Linotype"/>
        </w:rPr>
        <w:t>Abdihakimov, 2026)</w:t>
      </w:r>
      <w:r w:rsidRPr="00637B3C">
        <w:rPr>
          <w:rFonts w:ascii="Palatino Linotype" w:hAnsi="Palatino Linotype"/>
        </w:rPr>
        <w:t>. The result is an increasingly complex legal landscape in which artificial intelligence functions globally while governance remains fragmented among individual states pursuing distinct regulatory objectives. This fragmentation exposes the limitations of relying exclusively on digital sovereignty as the primary organizing principle of AI regulation within an increasingly interconnected international legal order.</w:t>
      </w:r>
    </w:p>
    <w:p w14:paraId="240BDBE6" w14:textId="77777777" w:rsidR="004C0E93" w:rsidRDefault="00637B3C" w:rsidP="004C0E93">
      <w:pPr>
        <w:spacing w:line="276" w:lineRule="auto"/>
        <w:ind w:firstLine="720"/>
        <w:jc w:val="both"/>
        <w:rPr>
          <w:rFonts w:ascii="Palatino Linotype" w:hAnsi="Palatino Linotype"/>
        </w:rPr>
      </w:pPr>
      <w:r w:rsidRPr="00637B3C">
        <w:rPr>
          <w:rFonts w:ascii="Palatino Linotype" w:hAnsi="Palatino Linotype"/>
        </w:rPr>
        <w:t>Contemporary scholarship has responded actively to these developments, generating an expanding body of literature on AI governance, digital sovereignty, and international law</w:t>
      </w:r>
      <w:r w:rsidR="004C0E93">
        <w:rPr>
          <w:rFonts w:ascii="Palatino Linotype" w:hAnsi="Palatino Linotype"/>
        </w:rPr>
        <w:t xml:space="preserve"> </w:t>
      </w:r>
      <w:r w:rsidRPr="004C0E93">
        <w:rPr>
          <w:rFonts w:ascii="Palatino Linotype" w:hAnsi="Palatino Linotype"/>
        </w:rPr>
        <w:t>(Abdihakimov, 2026)</w:t>
      </w:r>
      <w:r w:rsidRPr="00637B3C">
        <w:rPr>
          <w:rFonts w:ascii="Palatino Linotype" w:hAnsi="Palatino Linotype"/>
        </w:rPr>
        <w:t>. A substantial stream of research has examined the ethical regulation of artificial intelligence, emphasizing principles such as transparency, fairness, explainability, accountability, and human oversight as essential foundations for trustworthy AI systems. Another body of literature has explored digital sovereignty, arguing that states must preserve regulatory autonomy over data governance, digital infrastructure, cybersecurity, and technological development in order to protect national interests and democratic legitimacy</w:t>
      </w:r>
      <w:r w:rsidR="004C0E93">
        <w:rPr>
          <w:rFonts w:ascii="Palatino Linotype" w:hAnsi="Palatino Linotype"/>
        </w:rPr>
        <w:t xml:space="preserve"> </w:t>
      </w:r>
      <w:r w:rsidRPr="004C0E93">
        <w:rPr>
          <w:rFonts w:ascii="Palatino Linotype" w:hAnsi="Palatino Linotype"/>
        </w:rPr>
        <w:t>(Truby et al., 2026)</w:t>
      </w:r>
      <w:r w:rsidRPr="00637B3C">
        <w:rPr>
          <w:rFonts w:ascii="Palatino Linotype" w:hAnsi="Palatino Linotype"/>
        </w:rPr>
        <w:t xml:space="preserve">. Other scholars </w:t>
      </w:r>
      <w:r w:rsidRPr="00637B3C">
        <w:rPr>
          <w:rFonts w:ascii="Palatino Linotype" w:hAnsi="Palatino Linotype"/>
        </w:rPr>
        <w:lastRenderedPageBreak/>
        <w:t xml:space="preserve">have investigated the implications of AI for international human rights law, highlighting concerns regarding privacy, algorithmic discrimination, freedom of expression, surveillance, and the protection of vulnerable populations. Parallel research has focused on global digital governance by examining the role of international organizations, multistakeholder cooperation, transnational regulatory networks, and soft-law instruments in addressing emerging technological challenges that exceed the capacity of individual </w:t>
      </w:r>
      <w:proofErr w:type="gramStart"/>
      <w:r w:rsidRPr="00637B3C">
        <w:rPr>
          <w:rFonts w:ascii="Palatino Linotype" w:hAnsi="Palatino Linotype"/>
        </w:rPr>
        <w:t>states</w:t>
      </w:r>
      <w:r w:rsidRPr="004C0E93">
        <w:rPr>
          <w:rFonts w:ascii="Palatino Linotype" w:hAnsi="Palatino Linotype"/>
        </w:rPr>
        <w:t>(</w:t>
      </w:r>
      <w:proofErr w:type="gramEnd"/>
      <w:r w:rsidRPr="004C0E93">
        <w:rPr>
          <w:rFonts w:ascii="Palatino Linotype" w:hAnsi="Palatino Linotype"/>
        </w:rPr>
        <w:t>Janowski et al., 2026)</w:t>
      </w:r>
      <w:r w:rsidRPr="00637B3C">
        <w:rPr>
          <w:rFonts w:ascii="Palatino Linotype" w:hAnsi="Palatino Linotype"/>
        </w:rPr>
        <w:t>. More recent scholarship has also analyzed the implications of AI for international responsibility, cybersecurity, autonomous weapons, cross-border liability, and the future evolution of international legal norms. Collectively, these studies have significantly advanced contemporary understanding of artificial intelligence as a global legal issue by expanding debates beyond technological innovation toward questions of governance, ethics, regulation, and international cooperation</w:t>
      </w:r>
      <w:r w:rsidR="004C0E93">
        <w:rPr>
          <w:rFonts w:ascii="Palatino Linotype" w:hAnsi="Palatino Linotype"/>
        </w:rPr>
        <w:t xml:space="preserve"> </w:t>
      </w:r>
      <w:r w:rsidRPr="004C0E93">
        <w:rPr>
          <w:rFonts w:ascii="Palatino Linotype" w:hAnsi="Palatino Linotype"/>
        </w:rPr>
        <w:t>(Shahzad et al., 2025)</w:t>
      </w:r>
      <w:r w:rsidRPr="00637B3C">
        <w:rPr>
          <w:rFonts w:ascii="Palatino Linotype" w:hAnsi="Palatino Linotype"/>
        </w:rPr>
        <w:t>. Nevertheless, the literature continues to approach these issues through relatively distinct analytical perspectives, with limited integration between theories of digital sovereignty, international legal responsibility, multilevel governance, and the broader structural transformation required for governing AI within the international legal order.</w:t>
      </w:r>
    </w:p>
    <w:p w14:paraId="68E325B1" w14:textId="77777777" w:rsidR="004C0E93" w:rsidRDefault="00D72425" w:rsidP="004C0E93">
      <w:pPr>
        <w:spacing w:line="276" w:lineRule="auto"/>
        <w:ind w:firstLine="720"/>
        <w:jc w:val="both"/>
        <w:rPr>
          <w:rFonts w:ascii="Palatino Linotype" w:hAnsi="Palatino Linotype"/>
        </w:rPr>
      </w:pPr>
      <w:r w:rsidRPr="006D7F93">
        <w:rPr>
          <w:rFonts w:ascii="Palatino Linotype" w:hAnsi="Palatino Linotype"/>
        </w:rPr>
        <w:t xml:space="preserve">Existing scholarship, despite its considerable contributions, continues to exhibit several important conceptual limitations. Most studies examine artificial intelligence through isolated analytical perspectives, concentrating either on AI ethics, domestic regulatory models, digital sovereignty, human rights protection, cybersecurity, or international cooperation without integrating these dimensions into a coherent framework capable of explaining how international law itself should evolve in response to artificial intelligence. Research on digital sovereignty primarily emphasizes the regulatory authority of individual states to govern digital infrastructure, data, and emerging technologies within their territorial jurisdiction. Conversely, studies on global AI governance frequently advocate greater international cooperation but often provide only broad normative recommendations without proposing an operational legal architecture capable of reconciling national sovereignty with collective global governance. Likewise, scholarship on international AI regulation generally focuses on harmonizing existing legal instruments, developing ethical standards, or strengthening institutional cooperation while paying comparatively less attention to the structural transformation required within international law itself. As a result, contemporary </w:t>
      </w:r>
      <w:r w:rsidRPr="006D7F93">
        <w:rPr>
          <w:rFonts w:ascii="Palatino Linotype" w:hAnsi="Palatino Linotype"/>
        </w:rPr>
        <w:lastRenderedPageBreak/>
        <w:t>debates remain largely confined within the traditional state-centred paradigm, treating artificial intelligence as another object of regulation rather than recognizing it as a phenomenon that fundamentally challenges the territorial assumptions upon which modern international law has historically been constructed. This conceptual fragmentation has created an important research gap. Although considerable progress has been made in understanding AI governance, relatively little attention has been devoted to developing an integrated legal framework capable of repositioning digital sovereignty within a broader system of global governance that balances state interests, technological innovation, international cooperation, and the protection of humanity as a whole.</w:t>
      </w:r>
    </w:p>
    <w:p w14:paraId="6912D9CB" w14:textId="70903F8E" w:rsidR="00D72425" w:rsidRDefault="00D72425" w:rsidP="004C0E93">
      <w:pPr>
        <w:spacing w:line="276" w:lineRule="auto"/>
        <w:ind w:firstLine="720"/>
        <w:jc w:val="both"/>
        <w:rPr>
          <w:rFonts w:ascii="Palatino Linotype" w:hAnsi="Palatino Linotype"/>
        </w:rPr>
      </w:pPr>
      <w:r w:rsidRPr="006D7F93">
        <w:rPr>
          <w:rFonts w:ascii="Palatino Linotype" w:hAnsi="Palatino Linotype"/>
        </w:rPr>
        <w:t>This study addresses that gap by proposing a new conceptual paradigm for international law in the age of artificial intelligence. Rather than positioning digital sovereignty and global governance as competing approaches, this article argues that both should be understood as complementary components of an integrated international legal order. To operationalize this perspective, the study develops the Global AI Governance Framework (GAGF), a multidimensional model consisting of five interconnected dimensions: digital sovereignty, shared international responsibility, multistakeholder governance, AI accountability, and global human protection. Unlike existing approaches that primarily evaluate AI regulation from national, ethical, or institutional perspectives, the proposed framework reconceptualizes international law as a collaborative governance system capable of regulating borderless technologies while preserving legitimate state interests and ensuring effective protection of fundamental human rights. Accordingly, this article contributes to contemporary international legal scholarship in three important respects. First, it reinterprets digital sovereignty not as an absolute principle of exclusive state control but as a component of cooperative global governance. Second, it proposes a comprehensive analytical framework that integrates international law, digital governance, technological accountability, and human rights within a single conceptual model. Third, it advances a paradigm shift from a predominantly state-centred international legal order toward a human-centred and governance-oriented international legal architecture capable of responding to the unprecedented legal challenges generated by artificial intelligence in the twenty-first century.</w:t>
      </w:r>
    </w:p>
    <w:p w14:paraId="7846BA64" w14:textId="77777777" w:rsidR="00637B3C" w:rsidRPr="006D7F93" w:rsidRDefault="00637B3C" w:rsidP="006D7F93">
      <w:pPr>
        <w:spacing w:line="276" w:lineRule="auto"/>
        <w:jc w:val="both"/>
        <w:rPr>
          <w:rFonts w:ascii="Palatino Linotype" w:hAnsi="Palatino Linotype"/>
        </w:rPr>
      </w:pPr>
    </w:p>
    <w:p w14:paraId="133A430D" w14:textId="77777777" w:rsidR="00D72425" w:rsidRPr="004C0E93" w:rsidRDefault="00D72425" w:rsidP="006D7F93">
      <w:pPr>
        <w:spacing w:line="276" w:lineRule="auto"/>
        <w:jc w:val="both"/>
        <w:rPr>
          <w:rFonts w:ascii="Palatino Linotype" w:hAnsi="Palatino Linotype"/>
          <w:b/>
          <w:bCs/>
        </w:rPr>
      </w:pPr>
      <w:r w:rsidRPr="004C0E93">
        <w:rPr>
          <w:rFonts w:ascii="Palatino Linotype" w:hAnsi="Palatino Linotype"/>
          <w:b/>
          <w:bCs/>
        </w:rPr>
        <w:t>Research Method</w:t>
      </w:r>
    </w:p>
    <w:p w14:paraId="2689FDCD" w14:textId="77777777" w:rsidR="004C0E93" w:rsidRDefault="00D72425" w:rsidP="004C0E93">
      <w:pPr>
        <w:spacing w:line="276" w:lineRule="auto"/>
        <w:ind w:firstLine="720"/>
        <w:jc w:val="both"/>
        <w:rPr>
          <w:rFonts w:ascii="Palatino Linotype" w:hAnsi="Palatino Linotype"/>
        </w:rPr>
      </w:pPr>
      <w:r w:rsidRPr="006D7F93">
        <w:rPr>
          <w:rFonts w:ascii="Palatino Linotype" w:hAnsi="Palatino Linotype"/>
        </w:rPr>
        <w:lastRenderedPageBreak/>
        <w:t>This study employs normative legal research using a qualitative library-based approach to examine the transformation of international law in response to the rapid development of artificial intelligence (AI). Rather than evaluating the implementation of AI regulation within a particular jurisdiction, this research focuses on reconstructing the conceptual foundations of international law by critically examining existing legal doctrines, international legal instruments, academic scholarship, and contemporary theories of digital governance. The study is conceptual and analytical in nature, aiming to develop a new framework for understanding the relationship between digital sovereignty, global AI governance, and the evolving architecture of international law in the twenty-first century.</w:t>
      </w:r>
    </w:p>
    <w:p w14:paraId="3B7A98AC" w14:textId="77777777" w:rsidR="004C0E93" w:rsidRDefault="00D72425" w:rsidP="004C0E93">
      <w:pPr>
        <w:spacing w:line="276" w:lineRule="auto"/>
        <w:ind w:firstLine="720"/>
        <w:jc w:val="both"/>
        <w:rPr>
          <w:rFonts w:ascii="Palatino Linotype" w:hAnsi="Palatino Linotype"/>
        </w:rPr>
      </w:pPr>
      <w:r w:rsidRPr="006D7F93">
        <w:rPr>
          <w:rFonts w:ascii="Palatino Linotype" w:hAnsi="Palatino Linotype"/>
        </w:rPr>
        <w:t>The research relies exclusively on documentary sources comprising primary and secondary legal materials. Primary legal materials include international legal instruments, treaties, conventions, declarations, resolutions, policy frameworks, and official documents relating to artificial intelligence, digital governance, cybersecurity, human rights, and international cooperation. These include, among others, the Charter of the United Nations, relevant international human rights instruments, the UNESCO Recommendation on the Ethics of Artificial Intelligence, the Council of Europe Framework Convention on Artificial Intelligence, Human Rights, Democracy and the Rule of Law, OECD AI Principles, the European Union AI Act, and reports issued by the United Nations High-Level Advisory Body on Artificial Intelligence. Secondary legal materials consist of peer-reviewed journal articles, scholarly books, policy reports, working papers, and academic commentaries addressing international law, digital sovereignty, AI governance, global governance, cyber law, technology regulation, and transnational legal theory. Priority is given to recent publications indexed in Scopus and Web of Science to ensure that the analysis reflects contemporary developments in international legal scholarship.</w:t>
      </w:r>
    </w:p>
    <w:p w14:paraId="7F2A81FE" w14:textId="77777777" w:rsidR="004C0E93" w:rsidRDefault="00D72425" w:rsidP="004C0E93">
      <w:pPr>
        <w:spacing w:line="276" w:lineRule="auto"/>
        <w:ind w:firstLine="720"/>
        <w:jc w:val="both"/>
        <w:rPr>
          <w:rFonts w:ascii="Palatino Linotype" w:hAnsi="Palatino Linotype"/>
        </w:rPr>
      </w:pPr>
      <w:r w:rsidRPr="006D7F93">
        <w:rPr>
          <w:rFonts w:ascii="Palatino Linotype" w:hAnsi="Palatino Linotype"/>
        </w:rPr>
        <w:t xml:space="preserve">Data were collected through a systematic literature review conducted using major academic databases, including Scopus, Web of Science, HeinOnline, SSRN, Google Scholar, and official repositories maintained by international organizations. The literature search focused on publications discussing artificial intelligence governance, digital sovereignty, international legal responsibility, global governance, human rights, digital regulation, and emerging approaches to international law. Retrieved sources were screened according to relevance, scholarly quality, publication impact, and conceptual </w:t>
      </w:r>
      <w:r w:rsidRPr="006D7F93">
        <w:rPr>
          <w:rFonts w:ascii="Palatino Linotype" w:hAnsi="Palatino Linotype"/>
        </w:rPr>
        <w:lastRenderedPageBreak/>
        <w:t>contribution before being classified into thematic categories to facilitate comparative interpretation and theoretical synthesis.</w:t>
      </w:r>
    </w:p>
    <w:p w14:paraId="5C7CA86A" w14:textId="510D1D51" w:rsidR="00D72425" w:rsidRPr="006D7F93" w:rsidRDefault="00D72425" w:rsidP="004C0E93">
      <w:pPr>
        <w:spacing w:line="276" w:lineRule="auto"/>
        <w:ind w:firstLine="720"/>
        <w:jc w:val="both"/>
        <w:rPr>
          <w:rFonts w:ascii="Palatino Linotype" w:hAnsi="Palatino Linotype"/>
        </w:rPr>
      </w:pPr>
      <w:r w:rsidRPr="006D7F93">
        <w:rPr>
          <w:rFonts w:ascii="Palatino Linotype" w:hAnsi="Palatino Linotype"/>
        </w:rPr>
        <w:t>The analysis employs doctrinal analysis, conceptual analysis, and thematic content analysis. Doctrinal analysis is used to examine the evolution of international legal principles governing sovereignty, jurisdiction, state responsibility, and international cooperation in relation to emerging digital technologies. Conceptual analysis critically evaluates the assumptions and limitations of existing approaches to AI governance, digital sovereignty, and international law in order to identify conceptual inconsistencies and opportunities for theoretical reconstruction. Thematic content analysis is subsequently employed to synthesize recurring concepts, normative principles, and governance models across the literature. Through this analytical process, the study develops the Integrated Global AI Governance Framework (IGAGF), consisting of five interconnected dimensions: digital sovereignty, shared international responsibility, multistakeholder governance, AI accountability, and global human protection. The proposed framework functions both as a conceptual model for evaluating the adequacy of existing international legal arrangements and as a normative reference for reconstructing international law capable of governing artificial intelligence within an increasingly interconnected global society.</w:t>
      </w:r>
    </w:p>
    <w:p w14:paraId="22EF2FE5" w14:textId="77777777" w:rsidR="006D7F93" w:rsidRPr="006D7F93" w:rsidRDefault="006D7F93" w:rsidP="006D7F93">
      <w:pPr>
        <w:spacing w:line="276" w:lineRule="auto"/>
        <w:jc w:val="both"/>
        <w:rPr>
          <w:rFonts w:ascii="Palatino Linotype" w:hAnsi="Palatino Linotype"/>
        </w:rPr>
      </w:pPr>
    </w:p>
    <w:p w14:paraId="0BF29A0B" w14:textId="09091577" w:rsidR="006D7F93" w:rsidRPr="004C0E93" w:rsidRDefault="004C0E93" w:rsidP="006D7F93">
      <w:pPr>
        <w:spacing w:line="276" w:lineRule="auto"/>
        <w:jc w:val="both"/>
        <w:rPr>
          <w:rFonts w:ascii="Palatino Linotype" w:hAnsi="Palatino Linotype"/>
          <w:b/>
          <w:bCs/>
        </w:rPr>
      </w:pPr>
      <w:r w:rsidRPr="004C0E93">
        <w:rPr>
          <w:rFonts w:ascii="Palatino Linotype" w:hAnsi="Palatino Linotype"/>
          <w:b/>
          <w:bCs/>
        </w:rPr>
        <w:t>Result and Discussion</w:t>
      </w:r>
    </w:p>
    <w:p w14:paraId="1771BB53" w14:textId="11484699" w:rsidR="00637B3C" w:rsidRPr="00637B3C" w:rsidRDefault="00637B3C" w:rsidP="00637B3C">
      <w:pPr>
        <w:spacing w:line="276" w:lineRule="auto"/>
        <w:jc w:val="both"/>
        <w:rPr>
          <w:rFonts w:ascii="Palatino Linotype" w:hAnsi="Palatino Linotype"/>
          <w:b/>
          <w:bCs/>
        </w:rPr>
      </w:pPr>
      <w:r w:rsidRPr="00637B3C">
        <w:rPr>
          <w:rFonts w:ascii="Palatino Linotype" w:hAnsi="Palatino Linotype"/>
          <w:b/>
          <w:bCs/>
        </w:rPr>
        <w:t>The Crisis of State-Centred International Law in the Age of Artificial Intelligence</w:t>
      </w:r>
    </w:p>
    <w:p w14:paraId="7B5A69DA" w14:textId="77777777" w:rsidR="004C0E93" w:rsidRDefault="00637B3C" w:rsidP="004C0E93">
      <w:pPr>
        <w:spacing w:line="276" w:lineRule="auto"/>
        <w:ind w:firstLine="720"/>
        <w:jc w:val="both"/>
        <w:rPr>
          <w:rFonts w:ascii="Palatino Linotype" w:hAnsi="Palatino Linotype"/>
        </w:rPr>
      </w:pPr>
      <w:r w:rsidRPr="004C0E93">
        <w:rPr>
          <w:rFonts w:ascii="Palatino Linotype" w:hAnsi="Palatino Linotype"/>
        </w:rPr>
        <w:t>International law has historically developed upon the fundamental assumption that sovereign states constitute the primary subjects of the international legal order. Since the emergence of the modern state system following the Peace of Westphalia in 1648, sovereignty has functioned as the organizing principle governing relations among states, defining jurisdictional authority, allocating legal responsibility, and preserving territorial integrity</w:t>
      </w:r>
      <w:r w:rsidR="004C0E93">
        <w:rPr>
          <w:rFonts w:ascii="Palatino Linotype" w:hAnsi="Palatino Linotype"/>
        </w:rPr>
        <w:t xml:space="preserve"> </w:t>
      </w:r>
      <w:r w:rsidRPr="004C0E93">
        <w:rPr>
          <w:rFonts w:ascii="Palatino Linotype" w:hAnsi="Palatino Linotype"/>
        </w:rPr>
        <w:t>(Brunk &amp; Hakimi, 2024). The international legal system consequently evolved around a state-centred architecture in which legal rights, obligations, and enforcement mechanisms were primarily directed toward sovereign governments exercising exclusive authority within clearly defined territorial boundaries</w:t>
      </w:r>
      <w:r w:rsidR="004C0E93">
        <w:rPr>
          <w:rFonts w:ascii="Palatino Linotype" w:hAnsi="Palatino Linotype"/>
        </w:rPr>
        <w:t xml:space="preserve"> </w:t>
      </w:r>
      <w:r w:rsidRPr="004C0E93">
        <w:rPr>
          <w:rFonts w:ascii="Palatino Linotype" w:hAnsi="Palatino Linotype"/>
        </w:rPr>
        <w:t xml:space="preserve">(Moreno‐Lax, 2024). This framework has shaped virtually every branch of international law, including international human rights law, international trade law, the law of the sea, international environmental law, and international humanitarian law. Although globalization has </w:t>
      </w:r>
      <w:r w:rsidRPr="004C0E93">
        <w:rPr>
          <w:rFonts w:ascii="Palatino Linotype" w:hAnsi="Palatino Linotype"/>
        </w:rPr>
        <w:lastRenderedPageBreak/>
        <w:t>gradually expanded the role of international organizations, multinational corporations, and other non-state actors, the sovereign state has remained the central legal actor responsible for implementing, interpreting, and enforcing international legal obligations</w:t>
      </w:r>
      <w:r w:rsidR="004C0E93">
        <w:rPr>
          <w:rFonts w:ascii="Palatino Linotype" w:hAnsi="Palatino Linotype"/>
        </w:rPr>
        <w:t xml:space="preserve"> </w:t>
      </w:r>
      <w:r w:rsidRPr="004C0E93">
        <w:rPr>
          <w:rFonts w:ascii="Palatino Linotype" w:hAnsi="Palatino Linotype"/>
        </w:rPr>
        <w:t>(Zamora, 2026). Consequently, the legitimacy of international law has long depended upon the assumption that legal authority corresponds closely with territorial jurisdiction and that states possess sufficient regulatory capacity to govern activities occurring within their borders.</w:t>
      </w:r>
    </w:p>
    <w:p w14:paraId="57882DB1" w14:textId="77777777" w:rsidR="004C0E93" w:rsidRDefault="00637B3C" w:rsidP="004C0E93">
      <w:pPr>
        <w:spacing w:line="276" w:lineRule="auto"/>
        <w:ind w:firstLine="720"/>
        <w:jc w:val="both"/>
        <w:rPr>
          <w:rFonts w:ascii="Palatino Linotype" w:hAnsi="Palatino Linotype"/>
        </w:rPr>
      </w:pPr>
      <w:r w:rsidRPr="004C0E93">
        <w:rPr>
          <w:rFonts w:ascii="Palatino Linotype" w:hAnsi="Palatino Linotype"/>
        </w:rPr>
        <w:t>The centrality of state sovereignty has provided significant stability for the international legal system by establishing clear jurisdictional boundaries, reducing conflicts among states, and reinforcing the principle of sovereign equality</w:t>
      </w:r>
      <w:r w:rsidR="004C0E93">
        <w:rPr>
          <w:rFonts w:ascii="Palatino Linotype" w:hAnsi="Palatino Linotype"/>
        </w:rPr>
        <w:t xml:space="preserve"> </w:t>
      </w:r>
      <w:r w:rsidRPr="004C0E93">
        <w:rPr>
          <w:rFonts w:ascii="Palatino Linotype" w:hAnsi="Palatino Linotype"/>
        </w:rPr>
        <w:t>(Mansour et al., 2026). Territorial jurisdiction enables governments to regulate persons, property, economic activities, and public institutions located within their respective territories while limiting external interference from other states. Likewise, the doctrine of state responsibility provides a coherent framework through which internationally wrongful acts can be attributed to sovereign governments, thereby ensuring accountability for violations of international obligations. Together, these principles have created a relatively stable legal architecture in which authority, responsibility, and enforcement remain closely connected to identifiable territorial jurisdictions</w:t>
      </w:r>
      <w:r w:rsidR="004C0E93">
        <w:rPr>
          <w:rFonts w:ascii="Palatino Linotype" w:hAnsi="Palatino Linotype"/>
        </w:rPr>
        <w:t xml:space="preserve"> </w:t>
      </w:r>
      <w:r w:rsidRPr="004C0E93">
        <w:rPr>
          <w:rFonts w:ascii="Palatino Linotype" w:hAnsi="Palatino Linotype"/>
        </w:rPr>
        <w:t>(Nurgozhayeva, 2024). Even as international cooperation expanded through treaties and multilateral organizations, the effectiveness of international law continued to depend largely upon the willingness and capacity of sovereign states to implement their international commitments through domestic legal systems.</w:t>
      </w:r>
    </w:p>
    <w:p w14:paraId="70D3F8EF" w14:textId="77777777" w:rsidR="004C0E93" w:rsidRDefault="00637B3C" w:rsidP="004C0E93">
      <w:pPr>
        <w:spacing w:line="276" w:lineRule="auto"/>
        <w:ind w:firstLine="720"/>
        <w:jc w:val="both"/>
        <w:rPr>
          <w:rFonts w:ascii="Palatino Linotype" w:hAnsi="Palatino Linotype"/>
        </w:rPr>
      </w:pPr>
      <w:r w:rsidRPr="004C0E93">
        <w:rPr>
          <w:rFonts w:ascii="Palatino Linotype" w:hAnsi="Palatino Linotype"/>
        </w:rPr>
        <w:t xml:space="preserve">The rapid advancement of digital technologies has progressively challenged these traditional assumptions, but artificial intelligence represents a particularly significant departure from earlier forms of technological development. Unlike conventional information technologies that primarily facilitated communication and information exchange, contemporary AI systems increasingly perform autonomous cognitive functions that influence legal, economic, political, and social decision-making across national borders. Large language models, generative AI, predictive analytics, autonomous decision-support systems, and machine-learning algorithms continuously process global datasets originating from multiple jurisdictions while simultaneously interacting with users located around the world. AI systems therefore operate within digital environments that are fundamentally detached from the territorial boundaries </w:t>
      </w:r>
      <w:r w:rsidRPr="004C0E93">
        <w:rPr>
          <w:rFonts w:ascii="Palatino Linotype" w:hAnsi="Palatino Linotype"/>
        </w:rPr>
        <w:lastRenderedPageBreak/>
        <w:t>upon which international law has historically relied. Data may be collected in one jurisdiction, processed in another, stored across multiple cloud infrastructures, and subsequently deployed worldwide without any clear geographical point at which exclusive legal authority can be exercised</w:t>
      </w:r>
      <w:r w:rsidR="004C0E93">
        <w:rPr>
          <w:rFonts w:ascii="Palatino Linotype" w:hAnsi="Palatino Linotype"/>
        </w:rPr>
        <w:t xml:space="preserve"> </w:t>
      </w:r>
      <w:r w:rsidRPr="004C0E93">
        <w:rPr>
          <w:rFonts w:ascii="Palatino Linotype" w:hAnsi="Palatino Linotype"/>
        </w:rPr>
        <w:t>(Hasan, 2026). This borderless technological architecture fundamentally complicates the traditional relationship between sovereignty and jurisdiction because the activities requiring legal regulation no longer occur exclusively within identifiable national territories.</w:t>
      </w:r>
    </w:p>
    <w:p w14:paraId="1DDC123F" w14:textId="77777777" w:rsidR="004C0E93" w:rsidRDefault="00637B3C" w:rsidP="004C0E93">
      <w:pPr>
        <w:spacing w:line="276" w:lineRule="auto"/>
        <w:ind w:firstLine="720"/>
        <w:jc w:val="both"/>
        <w:rPr>
          <w:rFonts w:ascii="Palatino Linotype" w:hAnsi="Palatino Linotype"/>
        </w:rPr>
      </w:pPr>
      <w:r w:rsidRPr="004C0E93">
        <w:rPr>
          <w:rFonts w:ascii="Palatino Linotype" w:hAnsi="Palatino Linotype"/>
        </w:rPr>
        <w:t xml:space="preserve">The emergence of AI as a borderless technology has profound implications for the operation of international law. Traditional jurisdictional principles assume that legal authority can be allocated according to territorial location, nationality, or the physical presence of regulated activities. Artificial intelligence, however, frequently operates simultaneously across multiple jurisdictions through globally distributed computational networks. An AI model may be designed by researchers located in one country, trained using datasets collected from numerous jurisdictions, deployed by a multinational technology company headquartered elsewhere, and accessed by millions of users across the world within seconds. Under such circumstances, determining which state possesses primary regulatory authority becomes increasingly complex because no single jurisdiction can legitimately claim exclusive control over the entire technological </w:t>
      </w:r>
      <w:proofErr w:type="gramStart"/>
      <w:r w:rsidRPr="004C0E93">
        <w:rPr>
          <w:rFonts w:ascii="Palatino Linotype" w:hAnsi="Palatino Linotype"/>
        </w:rPr>
        <w:t>ecosystem(</w:t>
      </w:r>
      <w:proofErr w:type="gramEnd"/>
      <w:r w:rsidRPr="004C0E93">
        <w:rPr>
          <w:rFonts w:ascii="Palatino Linotype" w:hAnsi="Palatino Linotype"/>
        </w:rPr>
        <w:t>Galle &amp; Dort, 2025). The transnational character of AI therefore exposes the limitations of territorially fragmented legal regulation in addressing technologies whose operation is inherently global.</w:t>
      </w:r>
    </w:p>
    <w:p w14:paraId="36D46CD0" w14:textId="77777777" w:rsidR="004C0E93" w:rsidRDefault="00637B3C" w:rsidP="004C0E93">
      <w:pPr>
        <w:spacing w:line="276" w:lineRule="auto"/>
        <w:ind w:firstLine="720"/>
        <w:jc w:val="both"/>
        <w:rPr>
          <w:rFonts w:ascii="Palatino Linotype" w:hAnsi="Palatino Linotype"/>
        </w:rPr>
      </w:pPr>
      <w:r w:rsidRPr="004C0E93">
        <w:rPr>
          <w:rFonts w:ascii="Palatino Linotype" w:hAnsi="Palatino Linotype"/>
        </w:rPr>
        <w:t>Cross-border data flows further intensify this challenge by becoming the essential infrastructure upon which modern artificial intelligence depends. Contemporary AI systems require continuous access to massive quantities of data generated through global digital interactions, including online communications, commercial transactions, healthcare records, scientific research, satellite imagery, financial markets, and countless other forms of digital information. These data flows routinely cross multiple jurisdictions within fractions of a second, making it increasingly difficult for individual states to regulate data governance solely through domestic legislation</w:t>
      </w:r>
      <w:r w:rsidR="004C0E93">
        <w:rPr>
          <w:rFonts w:ascii="Palatino Linotype" w:hAnsi="Palatino Linotype"/>
        </w:rPr>
        <w:t xml:space="preserve"> </w:t>
      </w:r>
      <w:r w:rsidRPr="004C0E93">
        <w:rPr>
          <w:rFonts w:ascii="Palatino Linotype" w:hAnsi="Palatino Linotype"/>
        </w:rPr>
        <w:t xml:space="preserve">(Hasan, 2026). Although numerous governments have introduced national data protection laws and digital sovereignty strategies, the technical architecture of the internet enables data to circulate internationally through cloud computing services, distributed storage systems, and multinational digital platforms that rarely correspond to traditional territorial </w:t>
      </w:r>
      <w:r w:rsidRPr="004C0E93">
        <w:rPr>
          <w:rFonts w:ascii="Palatino Linotype" w:hAnsi="Palatino Linotype"/>
        </w:rPr>
        <w:lastRenderedPageBreak/>
        <w:t>boundaries. Consequently, data the fundamental resource driving artificial intelligence has become increasingly detached from the territorial assumptions underpinning conventional international legal doctrine.</w:t>
      </w:r>
    </w:p>
    <w:p w14:paraId="4098C148" w14:textId="77777777" w:rsidR="004C0E93" w:rsidRDefault="00637B3C" w:rsidP="004C0E93">
      <w:pPr>
        <w:spacing w:line="276" w:lineRule="auto"/>
        <w:ind w:firstLine="720"/>
        <w:jc w:val="both"/>
        <w:rPr>
          <w:rFonts w:ascii="Palatino Linotype" w:hAnsi="Palatino Linotype"/>
        </w:rPr>
      </w:pPr>
      <w:r w:rsidRPr="004C0E93">
        <w:rPr>
          <w:rFonts w:ascii="Palatino Linotype" w:hAnsi="Palatino Linotype"/>
        </w:rPr>
        <w:t>This transformation has also altered the distribution of regulatory power within the international system. Historically, states exercised primary control over economic production, communication infrastructure, and information management within their respective territories. In the digital era, however, substantial regulatory influence has shifted toward global technology corporations that develop, own, and operate AI systems utilized across multiple jurisdictions</w:t>
      </w:r>
      <w:r w:rsidR="004C0E93">
        <w:rPr>
          <w:rFonts w:ascii="Palatino Linotype" w:hAnsi="Palatino Linotype"/>
        </w:rPr>
        <w:t xml:space="preserve"> </w:t>
      </w:r>
      <w:r w:rsidRPr="004C0E93">
        <w:rPr>
          <w:rFonts w:ascii="Palatino Linotype" w:hAnsi="Palatino Linotype"/>
        </w:rPr>
        <w:t>(Mansour et al., 2026). Companies responsible for foundational AI models increasingly shape public discourse, commercial transactions, educational processes, healthcare services, financial systems, and governmental decision-making through privately developed algorithms whose operational consequences extend far beyond any single national legal system. These corporations frequently establish their own governance mechanisms, technical standards, content moderation policies, risk management procedures, and ethical guidelines that influence billions of users worldwide. While these governance practices may complement governmental regulation, they simultaneously reveal the growing importance of non-state actors in shaping global legal and regulatory environments.</w:t>
      </w:r>
    </w:p>
    <w:p w14:paraId="24DE2EA8" w14:textId="77777777" w:rsidR="004C0E93" w:rsidRDefault="00637B3C" w:rsidP="004C0E93">
      <w:pPr>
        <w:spacing w:line="276" w:lineRule="auto"/>
        <w:ind w:firstLine="720"/>
        <w:jc w:val="both"/>
        <w:rPr>
          <w:rFonts w:ascii="Palatino Linotype" w:hAnsi="Palatino Linotype"/>
        </w:rPr>
      </w:pPr>
      <w:r w:rsidRPr="004C0E93">
        <w:rPr>
          <w:rFonts w:ascii="Palatino Linotype" w:hAnsi="Palatino Linotype"/>
        </w:rPr>
        <w:t>The expanding role of technology companies fundamentally challenges one of the foundational premises of classical international law that sovereign states remain the exclusive or dominant regulators of transnational activities. Artificial intelligence governance increasingly depends upon interactions among governments, multinational corporations, international organizations, standard-setting bodies, research institutions, and civil society organizations</w:t>
      </w:r>
      <w:r w:rsidR="004C0E93">
        <w:rPr>
          <w:rFonts w:ascii="Palatino Linotype" w:hAnsi="Palatino Linotype"/>
        </w:rPr>
        <w:t xml:space="preserve"> </w:t>
      </w:r>
      <w:r w:rsidRPr="004C0E93">
        <w:rPr>
          <w:rFonts w:ascii="Palatino Linotype" w:hAnsi="Palatino Linotype"/>
        </w:rPr>
        <w:t>(Truby et al., 2026). Regulatory authority has therefore become increasingly dispersed across a complex network of public and private actors whose influence extends beyond traditional interstate relations. This development does not imply the decline of state sovereignty; rather, it illustrates that sovereignty alone can no longer provide a sufficient institutional foundation for governing technological systems whose development, deployment, and societal impacts transcend national jurisdictions.</w:t>
      </w:r>
    </w:p>
    <w:p w14:paraId="05BF7ECF" w14:textId="77777777" w:rsidR="004C0E93" w:rsidRDefault="00637B3C" w:rsidP="004C0E93">
      <w:pPr>
        <w:spacing w:line="276" w:lineRule="auto"/>
        <w:ind w:firstLine="720"/>
        <w:jc w:val="both"/>
        <w:rPr>
          <w:rFonts w:ascii="Palatino Linotype" w:hAnsi="Palatino Linotype"/>
        </w:rPr>
      </w:pPr>
      <w:r w:rsidRPr="004C0E93">
        <w:rPr>
          <w:rFonts w:ascii="Palatino Linotype" w:hAnsi="Palatino Linotype"/>
        </w:rPr>
        <w:t xml:space="preserve">The limitations of the existing international legal architecture become particularly evident when AI-related risks require coordinated responses extending beyond the competence of individual states. Algorithmic discrimination, cross-border </w:t>
      </w:r>
      <w:r w:rsidRPr="004C0E93">
        <w:rPr>
          <w:rFonts w:ascii="Palatino Linotype" w:hAnsi="Palatino Linotype"/>
        </w:rPr>
        <w:lastRenderedPageBreak/>
        <w:t>misinformation, autonomous cyber operations, transnational digital surveillance, AI-enabled financial manipulation, intellectual property disputes, and the governance of frontier AI models frequently involve multiple jurisdictions, diverse regulatory authorities, and globally interconnected technological infrastructures</w:t>
      </w:r>
      <w:r w:rsidR="004C0E93">
        <w:rPr>
          <w:rFonts w:ascii="Palatino Linotype" w:hAnsi="Palatino Linotype"/>
        </w:rPr>
        <w:t xml:space="preserve"> </w:t>
      </w:r>
      <w:r w:rsidRPr="004C0E93">
        <w:rPr>
          <w:rFonts w:ascii="Palatino Linotype" w:hAnsi="Palatino Linotype"/>
        </w:rPr>
        <w:t>(Upmann, 2026). Addressing these challenges requires cooperation that exceeds traditional bilateral or multilateral treaty mechanisms because technological innovation evolves considerably faster than conventional international lawmaking processes. As a result, international law increasingly confronts a structural mismatch between the territorial organization of legal authority and the borderless operation of artificial intelligence.</w:t>
      </w:r>
    </w:p>
    <w:p w14:paraId="6592350A" w14:textId="77777777" w:rsidR="004C0E93" w:rsidRDefault="00637B3C" w:rsidP="004C0E93">
      <w:pPr>
        <w:spacing w:line="276" w:lineRule="auto"/>
        <w:ind w:firstLine="720"/>
        <w:jc w:val="both"/>
        <w:rPr>
          <w:rFonts w:ascii="Palatino Linotype" w:hAnsi="Palatino Linotype"/>
        </w:rPr>
      </w:pPr>
      <w:r w:rsidRPr="004C0E93">
        <w:rPr>
          <w:rFonts w:ascii="Palatino Linotype" w:hAnsi="Palatino Linotype"/>
        </w:rPr>
        <w:t>This mismatch represents not merely a regulatory problem but a conceptual crisis affecting the very foundations of contemporary international law. The state-centred paradigm assumes that sovereignty, jurisdiction, and responsibility remain territorially bounded and institutionally centralized within sovereign governments. Artificial intelligence, however, demonstrates that technological power, digital infrastructure, and regulatory influence have become increasingly decentralized, transnational, and shared among multiple public and private actors</w:t>
      </w:r>
      <w:r w:rsidR="004C0E93">
        <w:rPr>
          <w:rFonts w:ascii="Palatino Linotype" w:hAnsi="Palatino Linotype"/>
        </w:rPr>
        <w:t xml:space="preserve"> </w:t>
      </w:r>
      <w:r w:rsidRPr="004C0E93">
        <w:rPr>
          <w:rFonts w:ascii="Palatino Linotype" w:hAnsi="Palatino Linotype"/>
        </w:rPr>
        <w:t>(Rabbani et al., 2026). Consequently, legal authority can no longer be understood exclusively through territorial jurisdiction because effective governance increasingly depends upon collaboration across jurisdictions, institutions, and sectors. The emergence of borderless AI therefore calls into question whether the traditional state-centred architecture of international law remains capable of governing technologies whose operational logic fundamentally transcends the territorial principles upon which that architecture was originally constructed.</w:t>
      </w:r>
    </w:p>
    <w:p w14:paraId="42BEC00B" w14:textId="77777777" w:rsidR="004C0E93" w:rsidRDefault="00637B3C" w:rsidP="004C0E93">
      <w:pPr>
        <w:spacing w:line="276" w:lineRule="auto"/>
        <w:ind w:firstLine="720"/>
        <w:jc w:val="both"/>
        <w:rPr>
          <w:rFonts w:ascii="Palatino Linotype" w:hAnsi="Palatino Linotype"/>
        </w:rPr>
      </w:pPr>
      <w:r w:rsidRPr="004C0E93">
        <w:rPr>
          <w:rFonts w:ascii="Palatino Linotype" w:hAnsi="Palatino Linotype"/>
        </w:rPr>
        <w:t>The structural weaknesses of the existing international legal order become increasingly visible through the growing fragmentation of AI regulation across jurisdictions. Rather than developing under a coherent international legal framework, AI governance has emerged through a diverse collection of domestic laws, regional regulations, ethical guidelines, technical standards, and voluntary governance mechanisms adopted independently by states and international organizations</w:t>
      </w:r>
      <w:r w:rsidR="004C0E93">
        <w:rPr>
          <w:rFonts w:ascii="Palatino Linotype" w:hAnsi="Palatino Linotype"/>
        </w:rPr>
        <w:t xml:space="preserve"> </w:t>
      </w:r>
      <w:r w:rsidRPr="004C0E93">
        <w:rPr>
          <w:rFonts w:ascii="Palatino Linotype" w:hAnsi="Palatino Linotype"/>
        </w:rPr>
        <w:t xml:space="preserve">(Moynihan, 2026). While these initiatives demonstrate an encouraging commitment to addressing the risks associated with artificial intelligence, they simultaneously produce significant inconsistencies regarding legal definitions, regulatory scope, risk classification, liability allocation, compliance obligations, and enforcement mechanisms. The European Union adopts a comprehensive risk-based legislative approach, the United </w:t>
      </w:r>
      <w:r w:rsidRPr="004C0E93">
        <w:rPr>
          <w:rFonts w:ascii="Palatino Linotype" w:hAnsi="Palatino Linotype"/>
        </w:rPr>
        <w:lastRenderedPageBreak/>
        <w:t>States emphasizes innovation-oriented governance combined with sectoral regulation, China integrates AI regulation within a broader framework of cyber sovereignty and state supervision, while many developing countries continue to formulate regulatory strategies according to their own economic priorities and institutional capacities</w:t>
      </w:r>
      <w:r w:rsidR="004C0E93">
        <w:rPr>
          <w:rFonts w:ascii="Palatino Linotype" w:hAnsi="Palatino Linotype"/>
        </w:rPr>
        <w:t xml:space="preserve"> </w:t>
      </w:r>
      <w:r w:rsidRPr="004C0E93">
        <w:rPr>
          <w:rFonts w:ascii="Palatino Linotype" w:hAnsi="Palatino Linotype"/>
        </w:rPr>
        <w:t>(Han et al., 2026). This diversity reflects legitimate differences in national interests and constitutional traditions, yet it also illustrates the absence of universally accepted international principles capable of ensuring coherent governance for technologies that operate beyond territorial boundaries.</w:t>
      </w:r>
    </w:p>
    <w:p w14:paraId="6A159451" w14:textId="77777777" w:rsidR="004C0E93" w:rsidRDefault="00637B3C" w:rsidP="004C0E93">
      <w:pPr>
        <w:spacing w:line="276" w:lineRule="auto"/>
        <w:ind w:firstLine="720"/>
        <w:jc w:val="both"/>
        <w:rPr>
          <w:rFonts w:ascii="Palatino Linotype" w:hAnsi="Palatino Linotype"/>
        </w:rPr>
      </w:pPr>
      <w:r w:rsidRPr="004C0E93">
        <w:rPr>
          <w:rFonts w:ascii="Palatino Linotype" w:hAnsi="Palatino Linotype"/>
        </w:rPr>
        <w:t xml:space="preserve">Regulatory fragmentation inevitably gives rise to jurisdictional conflicts that traditional principles of international law are increasingly unable to resolve. Artificial intelligence routinely generates legal relationships involving multiple jurisdictions simultaneously. An algorithm developed in one country may be trained using datasets collected across several continents, hosted on cloud infrastructure located elsewhere, marketed through multinational digital platforms, and ultimately deployed by users operating under entirely different legal </w:t>
      </w:r>
      <w:proofErr w:type="gramStart"/>
      <w:r w:rsidRPr="004C0E93">
        <w:rPr>
          <w:rFonts w:ascii="Palatino Linotype" w:hAnsi="Palatino Linotype"/>
        </w:rPr>
        <w:t>systems(</w:t>
      </w:r>
      <w:proofErr w:type="gramEnd"/>
      <w:r w:rsidRPr="004C0E93">
        <w:rPr>
          <w:rFonts w:ascii="Palatino Linotype" w:hAnsi="Palatino Linotype"/>
        </w:rPr>
        <w:t xml:space="preserve">Kulkarni et al., 2025). When legal disputes arise concerning algorithmic discrimination, misinformation, intellectual property, privacy violations, or AI-generated harm, determining which jurisdiction possesses regulatory authority becomes exceptionally complex. Existing jurisdictional doctrines based primarily on territoriality, nationality, or the location of harmful conduct often produce overlapping claims of authority or, conversely, regulatory gaps in which no single jurisdiction is capable of providing comprehensive legal </w:t>
      </w:r>
      <w:proofErr w:type="gramStart"/>
      <w:r w:rsidRPr="004C0E93">
        <w:rPr>
          <w:rFonts w:ascii="Palatino Linotype" w:hAnsi="Palatino Linotype"/>
        </w:rPr>
        <w:t>protection(</w:t>
      </w:r>
      <w:proofErr w:type="gramEnd"/>
      <w:r w:rsidRPr="004C0E93">
        <w:rPr>
          <w:rFonts w:ascii="Palatino Linotype" w:hAnsi="Palatino Linotype"/>
        </w:rPr>
        <w:t>Proudfoot et al., 2024). As artificial intelligence increasingly transcends geographical boundaries, territorial jurisdiction ceases to provide an adequate basis for allocating legal authority in a predictable and coherent manner.</w:t>
      </w:r>
    </w:p>
    <w:p w14:paraId="6361E3EC" w14:textId="77777777" w:rsidR="004C0E93" w:rsidRDefault="00637B3C" w:rsidP="004C0E93">
      <w:pPr>
        <w:spacing w:line="276" w:lineRule="auto"/>
        <w:ind w:firstLine="720"/>
        <w:jc w:val="both"/>
        <w:rPr>
          <w:rFonts w:ascii="Palatino Linotype" w:hAnsi="Palatino Linotype"/>
        </w:rPr>
      </w:pPr>
      <w:r w:rsidRPr="004C0E93">
        <w:rPr>
          <w:rFonts w:ascii="Palatino Linotype" w:hAnsi="Palatino Linotype"/>
        </w:rPr>
        <w:t xml:space="preserve">Closely connected to jurisdictional uncertainty is the growing problem of accountability. One of the defining characteristics of contemporary AI systems is the diffusion of responsibility across multiple actors participating in different stages of technological development and deployment. AI systems are designed by software engineers, trained by research institutions, financed by investors, commercialized by multinational corporations, integrated into products by third-party developers, and implemented by both public and private organizations operating across numerous </w:t>
      </w:r>
      <w:proofErr w:type="gramStart"/>
      <w:r w:rsidRPr="004C0E93">
        <w:rPr>
          <w:rFonts w:ascii="Palatino Linotype" w:hAnsi="Palatino Linotype"/>
        </w:rPr>
        <w:t>jurisdictions(</w:t>
      </w:r>
      <w:proofErr w:type="gramEnd"/>
      <w:r w:rsidRPr="004C0E93">
        <w:rPr>
          <w:rFonts w:ascii="Palatino Linotype" w:hAnsi="Palatino Linotype"/>
        </w:rPr>
        <w:t xml:space="preserve">Rabbani et al., 2026). Consequently, when AI causes legal harm whether through algorithmic bias, discriminatory outcomes, cybersecurity failures, autonomous </w:t>
      </w:r>
      <w:r w:rsidRPr="004C0E93">
        <w:rPr>
          <w:rFonts w:ascii="Palatino Linotype" w:hAnsi="Palatino Linotype"/>
        </w:rPr>
        <w:lastRenderedPageBreak/>
        <w:t xml:space="preserve">decision-making, or large-scale misinformation it becomes increasingly difficult to identify the actor that should bear legal responsibility. Traditional international law attributes responsibility primarily to states for internationally wrongful acts, while domestic legal systems generally allocate liability to identifiable individuals or legal entities. Artificial intelligence challenges both approaches because harmful outcomes frequently emerge through complex interactions among governments, corporations, software developers, data providers, and users distributed across different legal </w:t>
      </w:r>
      <w:proofErr w:type="gramStart"/>
      <w:r w:rsidRPr="004C0E93">
        <w:rPr>
          <w:rFonts w:ascii="Palatino Linotype" w:hAnsi="Palatino Linotype"/>
        </w:rPr>
        <w:t>systems(</w:t>
      </w:r>
      <w:proofErr w:type="gramEnd"/>
      <w:r w:rsidRPr="004C0E93">
        <w:rPr>
          <w:rFonts w:ascii="Palatino Linotype" w:hAnsi="Palatino Linotype"/>
        </w:rPr>
        <w:t>Abdihakimov, 2026). The result is an accountability gap in which responsibility becomes fragmented to such an extent that effective legal remedies become increasingly difficult to secure.</w:t>
      </w:r>
    </w:p>
    <w:p w14:paraId="42568303" w14:textId="77777777" w:rsidR="004C0E93" w:rsidRDefault="00637B3C" w:rsidP="004C0E93">
      <w:pPr>
        <w:spacing w:line="276" w:lineRule="auto"/>
        <w:ind w:firstLine="720"/>
        <w:jc w:val="both"/>
        <w:rPr>
          <w:rFonts w:ascii="Palatino Linotype" w:hAnsi="Palatino Linotype"/>
        </w:rPr>
      </w:pPr>
      <w:r w:rsidRPr="004C0E93">
        <w:rPr>
          <w:rFonts w:ascii="Palatino Linotype" w:hAnsi="Palatino Linotype"/>
        </w:rPr>
        <w:t>The absence of a coherent international governance structure has also intensified regulatory competition among states. Artificial intelligence has become a strategic resource capable of determining future economic competitiveness, technological leadership, military capability, and geopolitical influence</w:t>
      </w:r>
      <w:r w:rsidR="004C0E93">
        <w:rPr>
          <w:rFonts w:ascii="Palatino Linotype" w:hAnsi="Palatino Linotype"/>
        </w:rPr>
        <w:t xml:space="preserve"> </w:t>
      </w:r>
      <w:r w:rsidRPr="004C0E93">
        <w:rPr>
          <w:rFonts w:ascii="Palatino Linotype" w:hAnsi="Palatino Linotype"/>
        </w:rPr>
        <w:t xml:space="preserve">(Truby et al., 2026). Consequently, governments increasingly view AI regulation not only as a legal matter but also as an instrument of industrial policy, national security, and economic development. Some jurisdictions pursue stringent regulatory standards emphasizing human rights, transparency, and consumer protection, while others prioritize technological innovation, investment attraction, and market competitiveness by maintaining comparatively flexible regulatory environments. This divergence creates incentives for technology companies to relocate research activities, data processing operations, or corporate headquarters toward jurisdictions offering more favorable regulatory conditions. Such regulatory competition risks producing a fragmented international landscape in which economic considerations undermine the development of common global standards necessary for ensuring responsible AI </w:t>
      </w:r>
      <w:proofErr w:type="gramStart"/>
      <w:r w:rsidRPr="004C0E93">
        <w:rPr>
          <w:rFonts w:ascii="Palatino Linotype" w:hAnsi="Palatino Linotype"/>
        </w:rPr>
        <w:t>governance(</w:t>
      </w:r>
      <w:proofErr w:type="gramEnd"/>
      <w:r w:rsidRPr="004C0E93">
        <w:rPr>
          <w:rFonts w:ascii="Palatino Linotype" w:hAnsi="Palatino Linotype"/>
        </w:rPr>
        <w:t>Said et al., 2025).</w:t>
      </w:r>
    </w:p>
    <w:p w14:paraId="53AD97A8" w14:textId="77777777" w:rsidR="004C0E93" w:rsidRDefault="00637B3C" w:rsidP="004C0E93">
      <w:pPr>
        <w:spacing w:line="276" w:lineRule="auto"/>
        <w:ind w:firstLine="720"/>
        <w:jc w:val="both"/>
        <w:rPr>
          <w:rFonts w:ascii="Palatino Linotype" w:hAnsi="Palatino Linotype"/>
        </w:rPr>
      </w:pPr>
      <w:r w:rsidRPr="004C0E93">
        <w:rPr>
          <w:rFonts w:ascii="Palatino Linotype" w:hAnsi="Palatino Linotype"/>
        </w:rPr>
        <w:t>The challenges associated with AI governance are further compounded by the persistence of the global digital divide. The benefits of artificial intelligence remain distributed unevenly across regions, reflecting significant disparities in technological infrastructure, computational capacity, digital literacy, financial investment, research capability, and regulatory expertise. High-income economies dominate the development of advanced AI systems, while many developing countries remain primarily consumers rather than producers of AI technologies</w:t>
      </w:r>
      <w:r w:rsidR="004C0E93">
        <w:rPr>
          <w:rFonts w:ascii="Palatino Linotype" w:hAnsi="Palatino Linotype"/>
        </w:rPr>
        <w:t xml:space="preserve"> </w:t>
      </w:r>
      <w:r w:rsidRPr="004C0E93">
        <w:rPr>
          <w:rFonts w:ascii="Palatino Linotype" w:hAnsi="Palatino Linotype"/>
        </w:rPr>
        <w:t xml:space="preserve">(Crovato &amp; Rosania, 2026). This asymmetry </w:t>
      </w:r>
      <w:r w:rsidRPr="004C0E93">
        <w:rPr>
          <w:rFonts w:ascii="Palatino Linotype" w:hAnsi="Palatino Linotype"/>
        </w:rPr>
        <w:lastRenderedPageBreak/>
        <w:t>extends beyond technological capacity to influence the ability of states to participate meaningfully in global regulatory negotiations. Countries possessing limited technological resources often face substantial difficulties in implementing sophisticated AI governance frameworks, monitoring cross-border digital activities, or enforcing complex regulatory obligations. Consequently, unequal technological capacity risks reinforcing existing inequalities within the international legal order by concentrating regulatory influence among technologically advanced states while marginalizing the interests of less-developed countries.</w:t>
      </w:r>
    </w:p>
    <w:p w14:paraId="127B834F" w14:textId="77777777" w:rsidR="004C0E93" w:rsidRDefault="00637B3C" w:rsidP="004C0E93">
      <w:pPr>
        <w:spacing w:line="276" w:lineRule="auto"/>
        <w:ind w:firstLine="720"/>
        <w:jc w:val="both"/>
        <w:rPr>
          <w:rFonts w:ascii="Palatino Linotype" w:hAnsi="Palatino Linotype"/>
        </w:rPr>
      </w:pPr>
      <w:r w:rsidRPr="004C0E93">
        <w:rPr>
          <w:rFonts w:ascii="Palatino Linotype" w:hAnsi="Palatino Linotype"/>
        </w:rPr>
        <w:t>These inequalities also raise broader concerns regarding the legitimacy and inclusiveness of international AI governance. If global standards are formulated predominantly by technologically advanced economies or large multinational technology corporations, the resulting governance architecture may inadequately reflect the diverse social, cultural, economic, and legal realities experienced by developing countries. Effective international governance therefore requires mechanisms capable of ensuring meaningful participation by all states, irrespective of their technological capacity</w:t>
      </w:r>
      <w:r w:rsidR="004C0E93">
        <w:rPr>
          <w:rFonts w:ascii="Palatino Linotype" w:hAnsi="Palatino Linotype"/>
        </w:rPr>
        <w:t xml:space="preserve"> </w:t>
      </w:r>
      <w:r w:rsidRPr="004C0E93">
        <w:rPr>
          <w:rFonts w:ascii="Palatino Linotype" w:hAnsi="Palatino Linotype"/>
        </w:rPr>
        <w:t>(Garcia, 2025). Such participation is essential not only for enhancing the legitimacy of international legal norms but also for promoting equitable access to the benefits of artificial intelligence while preventing the emergence of new forms of digital inequality.</w:t>
      </w:r>
    </w:p>
    <w:p w14:paraId="1865D088" w14:textId="77777777" w:rsidR="004C0E93" w:rsidRDefault="00637B3C" w:rsidP="004C0E93">
      <w:pPr>
        <w:spacing w:line="276" w:lineRule="auto"/>
        <w:ind w:firstLine="720"/>
        <w:jc w:val="both"/>
        <w:rPr>
          <w:rFonts w:ascii="Palatino Linotype" w:hAnsi="Palatino Linotype"/>
        </w:rPr>
      </w:pPr>
      <w:r w:rsidRPr="004C0E93">
        <w:rPr>
          <w:rFonts w:ascii="Palatino Linotype" w:hAnsi="Palatino Linotype"/>
        </w:rPr>
        <w:t xml:space="preserve">Perhaps the most significant weakness of the current international legal architecture lies in the absence of effective institutional coordination at the global level. Although numerous international organizations including the United Nations, UNESCO, the OECD, the International Telecommunication Union, the Council of Europe, and regional organizations have initiated important discussions concerning AI governance, these initiatives remain largely decentralized and operate under distinct institutional </w:t>
      </w:r>
      <w:proofErr w:type="gramStart"/>
      <w:r w:rsidRPr="004C0E93">
        <w:rPr>
          <w:rFonts w:ascii="Palatino Linotype" w:hAnsi="Palatino Linotype"/>
        </w:rPr>
        <w:t>mandates(</w:t>
      </w:r>
      <w:proofErr w:type="gramEnd"/>
      <w:r w:rsidRPr="004C0E93">
        <w:rPr>
          <w:rFonts w:ascii="Palatino Linotype" w:hAnsi="Palatino Linotype"/>
        </w:rPr>
        <w:t>Christodoulou &amp; Zembylas, 2026). Existing international instruments frequently consist of ethical recommendations, soft-law principles, voluntary commitments, or sector-specific regulatory initiatives rather than universally binding legal obligations. While soft-law approaches provide flexibility and encourage rapid normative development, they also suffer from limited enforceability, inconsistent implementation, and varying levels of political commitment among participating states</w:t>
      </w:r>
      <w:r w:rsidR="004C0E93">
        <w:rPr>
          <w:rFonts w:ascii="Palatino Linotype" w:hAnsi="Palatino Linotype"/>
        </w:rPr>
        <w:t xml:space="preserve"> </w:t>
      </w:r>
      <w:r w:rsidRPr="004C0E93">
        <w:rPr>
          <w:rFonts w:ascii="Palatino Linotype" w:hAnsi="Palatino Linotype"/>
        </w:rPr>
        <w:t xml:space="preserve">(Bilia &amp; Marcelo, 2025). Consequently, contemporary AI governance remains characterized by institutional pluralism without corresponding institutional integration, </w:t>
      </w:r>
      <w:r w:rsidRPr="004C0E93">
        <w:rPr>
          <w:rFonts w:ascii="Palatino Linotype" w:hAnsi="Palatino Linotype"/>
        </w:rPr>
        <w:lastRenderedPageBreak/>
        <w:t>limiting the capacity of the international community to respond collectively to emerging technological risks.</w:t>
      </w:r>
    </w:p>
    <w:p w14:paraId="20AAF225" w14:textId="77777777" w:rsidR="004C0E93" w:rsidRDefault="00637B3C" w:rsidP="004C0E93">
      <w:pPr>
        <w:spacing w:line="276" w:lineRule="auto"/>
        <w:ind w:firstLine="720"/>
        <w:jc w:val="both"/>
        <w:rPr>
          <w:rFonts w:ascii="Palatino Linotype" w:hAnsi="Palatino Linotype"/>
        </w:rPr>
      </w:pPr>
      <w:r w:rsidRPr="004C0E93">
        <w:rPr>
          <w:rFonts w:ascii="Palatino Linotype" w:hAnsi="Palatino Linotype"/>
        </w:rPr>
        <w:t>The cumulative effect of fragmented regulation, jurisdictional conflicts, accountability gaps, regulatory competition, digital inequality, and weak international coordination reveals a deeper structural deficiency within contemporary international law</w:t>
      </w:r>
      <w:r w:rsidR="004C0E93">
        <w:rPr>
          <w:rFonts w:ascii="Palatino Linotype" w:hAnsi="Palatino Linotype"/>
        </w:rPr>
        <w:t xml:space="preserve"> </w:t>
      </w:r>
      <w:r w:rsidRPr="004C0E93">
        <w:rPr>
          <w:rFonts w:ascii="Palatino Linotype" w:hAnsi="Palatino Linotype"/>
        </w:rPr>
        <w:t>(Saliternik &amp; Agon, 2026). These challenges are not isolated regulatory problems that can be resolved through incremental legal reform or additional treaties alone. Instead, they expose the limitations of an international legal system whose foundational assumptions were constructed around territorially bounded state authority rather than globally interconnected technological ecosystems. Artificial intelligence demonstrates that legal authority, regulatory responsibility, and governance capacity increasingly extend beyond the exclusive control of sovereign states, requiring collaborative institutional arrangements capable of integrating governmental, intergovernmental, private-sector, academic, and civil society actors within a common regulatory architecture.</w:t>
      </w:r>
    </w:p>
    <w:p w14:paraId="0112028C" w14:textId="560A648A" w:rsidR="00637B3C" w:rsidRDefault="00637B3C" w:rsidP="004C0E93">
      <w:pPr>
        <w:spacing w:line="276" w:lineRule="auto"/>
        <w:ind w:firstLine="720"/>
        <w:jc w:val="both"/>
        <w:rPr>
          <w:rFonts w:ascii="Palatino Linotype" w:hAnsi="Palatino Linotype"/>
        </w:rPr>
      </w:pPr>
      <w:r w:rsidRPr="004C0E93">
        <w:rPr>
          <w:rFonts w:ascii="Palatino Linotype" w:hAnsi="Palatino Linotype"/>
        </w:rPr>
        <w:t>Accordingly, the crisis confronting state-centred international law should not be interpreted as the erosion of sovereignty itself but rather as the need to redefine sovereignty within an increasingly interconnected digital environment. Sovereign authority remains indispensable for ensuring democratic legitimacy, domestic implementation, and legal accountability; however, sovereignty alone can no longer provide a sufficient legal basis for governing technologies whose development, operation, and consequences transcend territorial boundaries</w:t>
      </w:r>
      <w:r w:rsidR="004C0E93">
        <w:rPr>
          <w:rFonts w:ascii="Palatino Linotype" w:hAnsi="Palatino Linotype"/>
        </w:rPr>
        <w:t xml:space="preserve"> </w:t>
      </w:r>
      <w:r w:rsidRPr="004C0E93">
        <w:rPr>
          <w:rFonts w:ascii="Palatino Linotype" w:hAnsi="Palatino Linotype"/>
        </w:rPr>
        <w:t>(Cugurullo, 2026). The governance of artificial intelligence therefore demands a fundamental reconceptualization of international law from a system primarily organized around the exclusive authority of sovereign states toward a collaborative legal architecture capable of balancing national regulatory autonomy with shared international responsibility. This paradigm shift provides the theoretical foundation for the next section, which argues that the future of international law lies not in abandoning digital sovereignty but in integrating it within a broader framework of Collaborative Global AI Governance, capable of governing artificial intelligence through cooperation, coordination, and shared responsibility rather than fragmented territorial regulation alone.</w:t>
      </w:r>
    </w:p>
    <w:p w14:paraId="474F86A7" w14:textId="77777777" w:rsidR="004C0E93" w:rsidRPr="004C0E93" w:rsidRDefault="004C0E93" w:rsidP="004C0E93">
      <w:pPr>
        <w:spacing w:line="276" w:lineRule="auto"/>
        <w:ind w:firstLine="720"/>
        <w:jc w:val="both"/>
        <w:rPr>
          <w:rFonts w:ascii="Palatino Linotype" w:hAnsi="Palatino Linotype"/>
        </w:rPr>
      </w:pPr>
    </w:p>
    <w:p w14:paraId="2AF86590" w14:textId="50ED9985" w:rsidR="00637B3C" w:rsidRPr="004C0E93" w:rsidRDefault="00637B3C" w:rsidP="00637B3C">
      <w:pPr>
        <w:spacing w:line="276" w:lineRule="auto"/>
        <w:jc w:val="both"/>
        <w:rPr>
          <w:rFonts w:ascii="Palatino Linotype" w:hAnsi="Palatino Linotype"/>
          <w:b/>
          <w:bCs/>
        </w:rPr>
      </w:pPr>
      <w:r w:rsidRPr="004C0E93">
        <w:rPr>
          <w:rFonts w:ascii="Palatino Linotype" w:hAnsi="Palatino Linotype"/>
          <w:b/>
          <w:bCs/>
        </w:rPr>
        <w:lastRenderedPageBreak/>
        <w:t>From Digital Sovereignty to Collaborative Global AI Governance: Reframing International Legal Theory</w:t>
      </w:r>
    </w:p>
    <w:p w14:paraId="11C085FA" w14:textId="77777777" w:rsidR="004C0E93" w:rsidRDefault="00637B3C" w:rsidP="004C0E93">
      <w:pPr>
        <w:spacing w:line="276" w:lineRule="auto"/>
        <w:ind w:firstLine="720"/>
        <w:jc w:val="both"/>
        <w:rPr>
          <w:rFonts w:ascii="Palatino Linotype" w:hAnsi="Palatino Linotype"/>
        </w:rPr>
      </w:pPr>
      <w:r w:rsidRPr="004C0E93">
        <w:rPr>
          <w:rFonts w:ascii="Palatino Linotype" w:hAnsi="Palatino Linotype"/>
        </w:rPr>
        <w:t>The structural crisis confronting contemporary international law demonstrates that the governance of artificial intelligence cannot be adequately addressed through traditional legal principles alone. As discussed in the previous section, the borderless nature of AI fundamentally challenges the territorial assumptions underpinning state sovereignty, jurisdiction, and international responsibility. Nevertheless, this crisis should not be interpreted as evidence that sovereignty has become obsolete. Rather, it illustrates that sovereignty, while remaining indispensable, no longer constitutes a sufficient legal foundation for governing technologies whose operation transcends national borders. Consequently, the central challenge for international legal theory is not whether sovereignty should be abandoned, but how it should be reinterpreted within an increasingly interconnected digital environment. This requires a transition from a purely state-centred understanding of international law toward a more collaborative governance model capable of accommodating the distributed, transnational, and multi-actor character of artificial intelligence</w:t>
      </w:r>
      <w:r w:rsidR="004C0E93">
        <w:rPr>
          <w:rFonts w:ascii="Palatino Linotype" w:hAnsi="Palatino Linotype"/>
        </w:rPr>
        <w:t xml:space="preserve"> </w:t>
      </w:r>
      <w:r w:rsidRPr="004C0E93">
        <w:rPr>
          <w:rFonts w:ascii="Palatino Linotype" w:hAnsi="Palatino Linotype"/>
        </w:rPr>
        <w:t>(Truby et al., 2026).</w:t>
      </w:r>
    </w:p>
    <w:p w14:paraId="4F5CCFA5" w14:textId="77777777" w:rsidR="004C0E93" w:rsidRDefault="00637B3C" w:rsidP="004C0E93">
      <w:pPr>
        <w:spacing w:line="276" w:lineRule="auto"/>
        <w:ind w:firstLine="720"/>
        <w:jc w:val="both"/>
        <w:rPr>
          <w:rFonts w:ascii="Palatino Linotype" w:hAnsi="Palatino Linotype"/>
        </w:rPr>
      </w:pPr>
      <w:r w:rsidRPr="004C0E93">
        <w:rPr>
          <w:rFonts w:ascii="Palatino Linotype" w:hAnsi="Palatino Linotype"/>
        </w:rPr>
        <w:t>The principle of state sovereignty has historically occupied a central position within international legal thought because it guarantees the political independence, territorial integrity, and regulatory autonomy of states. Sovereignty enables governments to determine domestic policies, regulate economic activities, enforce legal obligations, and protect national security without unlawful external interference. These functions remain essential in the digital era, particularly as states seek to safeguard critical infrastructure, cybersecurity, personal data, and digital public services. Consequently, sovereignty continues to provide the legal legitimacy necessary for regulating artificial intelligence within domestic jurisdictions. However, the effectiveness of sovereign regulation becomes increasingly limited once AI systems operate across multiple territories simultaneously</w:t>
      </w:r>
      <w:r w:rsidR="004C0E93">
        <w:rPr>
          <w:rFonts w:ascii="Palatino Linotype" w:hAnsi="Palatino Linotype"/>
        </w:rPr>
        <w:t xml:space="preserve"> </w:t>
      </w:r>
      <w:r w:rsidRPr="004C0E93">
        <w:rPr>
          <w:rFonts w:ascii="Palatino Linotype" w:hAnsi="Palatino Linotype"/>
        </w:rPr>
        <w:t>(Cugurullo, 2026). National legislation may govern AI developers located within a state's territory, yet it possesses comparatively limited influence over algorithms developed abroad, cross-border data infrastructures, or multinational technology companies operating through globally distributed digital ecosystems. Thus, while sovereignty remains legally indispensable, its practical capacity to govern AI diminishes as technological systems become increasingly transnational.</w:t>
      </w:r>
    </w:p>
    <w:p w14:paraId="697BA119" w14:textId="77777777" w:rsidR="004C0E93" w:rsidRDefault="00637B3C" w:rsidP="004C0E93">
      <w:pPr>
        <w:spacing w:line="276" w:lineRule="auto"/>
        <w:ind w:firstLine="720"/>
        <w:jc w:val="both"/>
        <w:rPr>
          <w:rFonts w:ascii="Palatino Linotype" w:hAnsi="Palatino Linotype"/>
        </w:rPr>
      </w:pPr>
      <w:r w:rsidRPr="004C0E93">
        <w:rPr>
          <w:rFonts w:ascii="Palatino Linotype" w:hAnsi="Palatino Linotype"/>
        </w:rPr>
        <w:lastRenderedPageBreak/>
        <w:t>The emergence of digital sovereignty represents an important attempt to adapt classical sovereignty to the realities of digital transformation. Digital sovereignty generally refers to the capacity of states to exercise effective control over digital infrastructure, data governance, cybersecurity, digital markets, and emerging technologies operating within or affecting their jurisdiction. Many governments have embraced this concept as a means of preserving regulatory autonomy amid the growing influence of global technology companies and transnational digital platforms</w:t>
      </w:r>
      <w:r w:rsidR="004C0E93">
        <w:rPr>
          <w:rFonts w:ascii="Palatino Linotype" w:hAnsi="Palatino Linotype"/>
        </w:rPr>
        <w:t xml:space="preserve"> </w:t>
      </w:r>
      <w:r w:rsidRPr="004C0E93">
        <w:rPr>
          <w:rFonts w:ascii="Palatino Linotype" w:hAnsi="Palatino Linotype"/>
        </w:rPr>
        <w:t>(Olawale, 2026). The European Union emphasizes technological autonomy through regulatory leadership, China incorporates digital sovereignty within broader cyber governance strategies, and numerous other jurisdictions have adopted national digital policies designed to strengthen domestic control over strategic digital resources. In this respect, digital sovereignty reflects a legitimate effort to preserve democratic accountability and public authority within increasingly complex technological environments.</w:t>
      </w:r>
    </w:p>
    <w:p w14:paraId="59583C5C" w14:textId="77777777" w:rsidR="004C0E93" w:rsidRDefault="00637B3C" w:rsidP="004C0E93">
      <w:pPr>
        <w:spacing w:line="276" w:lineRule="auto"/>
        <w:ind w:firstLine="720"/>
        <w:jc w:val="both"/>
        <w:rPr>
          <w:rFonts w:ascii="Palatino Linotype" w:hAnsi="Palatino Linotype"/>
        </w:rPr>
      </w:pPr>
      <w:r w:rsidRPr="004C0E93">
        <w:rPr>
          <w:rFonts w:ascii="Palatino Linotype" w:hAnsi="Palatino Linotype"/>
        </w:rPr>
        <w:t>Nevertheless, digital sovereignty alone cannot resolve the governance challenges created by artificial intelligence. Although it strengthens national regulatory capacity, it simultaneously risks reinforcing regulatory fragmentation because each jurisdiction develops its own legal standards, technical requirements, compliance mechanisms, and ethical principles. Artificial intelligence, however, functions through globally interconnected technological ecosystems in which data, algorithms, computational resources, and digital services circulate continuously across borders</w:t>
      </w:r>
      <w:r w:rsidR="004C0E93">
        <w:rPr>
          <w:rFonts w:ascii="Palatino Linotype" w:hAnsi="Palatino Linotype"/>
        </w:rPr>
        <w:t xml:space="preserve"> </w:t>
      </w:r>
      <w:r w:rsidRPr="004C0E93">
        <w:rPr>
          <w:rFonts w:ascii="Palatino Linotype" w:hAnsi="Palatino Linotype"/>
        </w:rPr>
        <w:t>(Truby et al., 2026). Excessive emphasis on exclusive national control may therefore generate conflicting legal obligations, duplicated regulatory requirements, barriers to technological cooperation, and inconsistent standards for protecting fundamental rights. Digital sovereignty consequently represents an important but incomplete response because it addresses domestic regulatory authority without fully resolving the collective governance problems generated by borderless technologies.</w:t>
      </w:r>
    </w:p>
    <w:p w14:paraId="15E90677" w14:textId="77777777" w:rsidR="004C0E93" w:rsidRDefault="00637B3C" w:rsidP="004C0E93">
      <w:pPr>
        <w:spacing w:line="276" w:lineRule="auto"/>
        <w:ind w:firstLine="720"/>
        <w:jc w:val="both"/>
        <w:rPr>
          <w:rFonts w:ascii="Palatino Linotype" w:hAnsi="Palatino Linotype"/>
        </w:rPr>
      </w:pPr>
      <w:r w:rsidRPr="004C0E93">
        <w:rPr>
          <w:rFonts w:ascii="Palatino Linotype" w:hAnsi="Palatino Linotype"/>
        </w:rPr>
        <w:t>Recognition of these limitations has encouraged increasing attention toward global governance theory as an alternative framework for addressing transnational challenges. Unlike classical international law, which primarily focuses on relations among sovereign states, global governance emphasizes cooperation among multiple public and private actors operating across different institutional levels</w:t>
      </w:r>
      <w:r w:rsidR="004C0E93">
        <w:rPr>
          <w:rFonts w:ascii="Palatino Linotype" w:hAnsi="Palatino Linotype"/>
        </w:rPr>
        <w:t xml:space="preserve"> </w:t>
      </w:r>
      <w:r w:rsidRPr="004C0E93">
        <w:rPr>
          <w:rFonts w:ascii="Palatino Linotype" w:hAnsi="Palatino Linotype"/>
        </w:rPr>
        <w:t xml:space="preserve">(Vaya-Arboledas et al., 2025). Governments, international organizations, multinational corporations, technical standard-setting bodies, academic institutions, and civil society organizations </w:t>
      </w:r>
      <w:r w:rsidRPr="004C0E93">
        <w:rPr>
          <w:rFonts w:ascii="Palatino Linotype" w:hAnsi="Palatino Linotype"/>
        </w:rPr>
        <w:lastRenderedPageBreak/>
        <w:t>collectively participate in developing regulatory norms capable of addressing global problems that exceed the capacity of individual states. Global governance therefore reflects the growing recognition that effective regulation increasingly depends upon collaboration rather than hierarchical state authority alone. Within the context of artificial intelligence, this perspective acknowledges that no single actor possesses sufficient expertise, jurisdiction, or institutional capacity to govern AI independently.</w:t>
      </w:r>
    </w:p>
    <w:p w14:paraId="6FAFCA39" w14:textId="77777777" w:rsidR="004C0E93" w:rsidRDefault="00637B3C" w:rsidP="004C0E93">
      <w:pPr>
        <w:spacing w:line="276" w:lineRule="auto"/>
        <w:ind w:firstLine="720"/>
        <w:jc w:val="both"/>
        <w:rPr>
          <w:rFonts w:ascii="Palatino Linotype" w:hAnsi="Palatino Linotype"/>
        </w:rPr>
      </w:pPr>
      <w:r w:rsidRPr="004C0E93">
        <w:rPr>
          <w:rFonts w:ascii="Palatino Linotype" w:hAnsi="Palatino Linotype"/>
        </w:rPr>
        <w:t>Despite its considerable strengths, global governance theory also exhibits important limitations when applied to AI regulation. Existing governance models frequently remain conceptually broad, emphasizing cooperation and coordination without clearly explaining how authority, responsibility, accountability, and enforcement should be allocated among diverse actors possessing unequal legal status and institutional capacity. Furthermore, many global governance initiatives rely primarily upon voluntary commitments, ethical guidelines, or soft-law instruments whose implementation depends upon political goodwill rather than legally binding obligations</w:t>
      </w:r>
      <w:r w:rsidR="004C0E93">
        <w:rPr>
          <w:rFonts w:ascii="Palatino Linotype" w:hAnsi="Palatino Linotype"/>
        </w:rPr>
        <w:t xml:space="preserve"> </w:t>
      </w:r>
      <w:r w:rsidRPr="004C0E93">
        <w:rPr>
          <w:rFonts w:ascii="Palatino Linotype" w:hAnsi="Palatino Linotype"/>
        </w:rPr>
        <w:t>(Xu et al., 2026). While such flexibility facilitates rapid normative development, it often weakens legal certainty and reduces institutional accountability. Consequently, global governance provides an important direction for future international law but requires a more coherent legal architecture capable of integrating cooperation with enforceable legal responsibility.</w:t>
      </w:r>
    </w:p>
    <w:p w14:paraId="526D3180" w14:textId="31C152F8" w:rsidR="00637B3C" w:rsidRPr="004C0E93" w:rsidRDefault="00637B3C" w:rsidP="004C0E93">
      <w:pPr>
        <w:spacing w:line="276" w:lineRule="auto"/>
        <w:ind w:firstLine="720"/>
        <w:jc w:val="both"/>
        <w:rPr>
          <w:rFonts w:ascii="Palatino Linotype" w:hAnsi="Palatino Linotype"/>
        </w:rPr>
      </w:pPr>
      <w:r w:rsidRPr="004C0E93">
        <w:rPr>
          <w:rFonts w:ascii="Palatino Linotype" w:hAnsi="Palatino Linotype"/>
        </w:rPr>
        <w:t>Parallel developments have emerged through international discussions concerning AI ethics. International organizations, including UNESCO, the OECD, and various United Nations bodies, have developed ethical principles emphasizing transparency, fairness, accountability, explainability, privacy, human oversight, and respect for fundamental human rights</w:t>
      </w:r>
      <w:r w:rsidR="00045BAD">
        <w:rPr>
          <w:rFonts w:ascii="Palatino Linotype" w:hAnsi="Palatino Linotype"/>
        </w:rPr>
        <w:t xml:space="preserve"> </w:t>
      </w:r>
      <w:r w:rsidRPr="00045BAD">
        <w:rPr>
          <w:rFonts w:ascii="Palatino Linotype" w:hAnsi="Palatino Linotype"/>
        </w:rPr>
        <w:t>(Kulkarni et al., 2025)</w:t>
      </w:r>
      <w:r w:rsidRPr="004C0E93">
        <w:rPr>
          <w:rFonts w:ascii="Palatino Linotype" w:hAnsi="Palatino Linotype"/>
        </w:rPr>
        <w:t>. These initiatives have significantly influenced national regulatory strategies by establishing widely accepted normative standards for responsible AI development. Ethical governance has therefore become an indispensable component of international AI regulation because it articulates shared values capable of guiding technological innovation across different legal systems.</w:t>
      </w:r>
    </w:p>
    <w:p w14:paraId="56337212" w14:textId="77777777" w:rsidR="00045BAD" w:rsidRDefault="00637B3C" w:rsidP="00637B3C">
      <w:pPr>
        <w:spacing w:line="276" w:lineRule="auto"/>
        <w:jc w:val="both"/>
        <w:rPr>
          <w:rFonts w:ascii="Palatino Linotype" w:hAnsi="Palatino Linotype"/>
        </w:rPr>
      </w:pPr>
      <w:r w:rsidRPr="004C0E93">
        <w:rPr>
          <w:rFonts w:ascii="Palatino Linotype" w:hAnsi="Palatino Linotype"/>
        </w:rPr>
        <w:t>However, ethical principles alone cannot substitute for legal governance. Ethics establish normative aspirations but generally lack the institutional mechanisms necessary for ensuring compliance, resolving jurisdictional disputes, allocating responsibility, or enforcing accountability when violations occur</w:t>
      </w:r>
      <w:r w:rsidR="00045BAD">
        <w:rPr>
          <w:rFonts w:ascii="Palatino Linotype" w:hAnsi="Palatino Linotype"/>
        </w:rPr>
        <w:t xml:space="preserve"> </w:t>
      </w:r>
      <w:r w:rsidRPr="00045BAD">
        <w:rPr>
          <w:rFonts w:ascii="Palatino Linotype" w:hAnsi="Palatino Linotype"/>
        </w:rPr>
        <w:t>(Kriebitz et al., 2026)</w:t>
      </w:r>
      <w:r w:rsidRPr="004C0E93">
        <w:rPr>
          <w:rFonts w:ascii="Palatino Linotype" w:hAnsi="Palatino Linotype"/>
        </w:rPr>
        <w:t xml:space="preserve">. Ethical frameworks therefore function primarily as normative guidance rather than comprehensive </w:t>
      </w:r>
      <w:r w:rsidRPr="004C0E93">
        <w:rPr>
          <w:rFonts w:ascii="Palatino Linotype" w:hAnsi="Palatino Linotype"/>
        </w:rPr>
        <w:lastRenderedPageBreak/>
        <w:t>governance systems. Similarly, international human rights law provides essential substantive principles for protecting individuals affected by AI, yet it remains primarily concerned with safeguarding rights rather than designing institutional architectures capable of governing complex transnational technological ecosystems. Consequently, ethics and human rights provide indispensable normative foundations but remain insufficient as standalone governance models.</w:t>
      </w:r>
    </w:p>
    <w:p w14:paraId="33B102CC" w14:textId="77777777" w:rsidR="00045BAD" w:rsidRDefault="00637B3C" w:rsidP="00045BAD">
      <w:pPr>
        <w:spacing w:line="276" w:lineRule="auto"/>
        <w:ind w:firstLine="720"/>
        <w:jc w:val="both"/>
        <w:rPr>
          <w:rFonts w:ascii="Palatino Linotype" w:hAnsi="Palatino Linotype"/>
        </w:rPr>
      </w:pPr>
      <w:r w:rsidRPr="004C0E93">
        <w:rPr>
          <w:rFonts w:ascii="Palatino Linotype" w:hAnsi="Palatino Linotype"/>
        </w:rPr>
        <w:t>Collectively, these theoretical developments illustrate an important evolution within international legal thought. State sovereignty preserves regulatory legitimacy; digital sovereignty strengthens national governance; global governance expands international cooperation; AI ethics establishes normative principles; and human rights define the substantive values requiring protection</w:t>
      </w:r>
      <w:r w:rsidR="00045BAD">
        <w:rPr>
          <w:rFonts w:ascii="Palatino Linotype" w:hAnsi="Palatino Linotype"/>
        </w:rPr>
        <w:t xml:space="preserve"> </w:t>
      </w:r>
      <w:r w:rsidRPr="00045BAD">
        <w:rPr>
          <w:rFonts w:ascii="Palatino Linotype" w:hAnsi="Palatino Linotype"/>
        </w:rPr>
        <w:t>(Truby et al., 2026)</w:t>
      </w:r>
      <w:r w:rsidRPr="004C0E93">
        <w:rPr>
          <w:rFonts w:ascii="Palatino Linotype" w:hAnsi="Palatino Linotype"/>
        </w:rPr>
        <w:t>. Nevertheless, each framework addresses only one dimension of a much broader governance challenge. Existing theories remain analytically fragmented because they explain particular aspects of AI governance without integrating sovereignty, cooperation, accountability, technological regulation, and human protection within a single conceptual architecture. This fragmentation limits the ability of international law to respond coherently to artificial intelligence as a borderless and multidimensional phenomenon.</w:t>
      </w:r>
    </w:p>
    <w:p w14:paraId="5FED56FD" w14:textId="77777777" w:rsidR="00045BAD" w:rsidRDefault="00637B3C" w:rsidP="00045BAD">
      <w:pPr>
        <w:spacing w:line="276" w:lineRule="auto"/>
        <w:ind w:firstLine="720"/>
        <w:jc w:val="both"/>
        <w:rPr>
          <w:rFonts w:ascii="Palatino Linotype" w:hAnsi="Palatino Linotype"/>
        </w:rPr>
      </w:pPr>
      <w:r w:rsidRPr="004C0E93">
        <w:rPr>
          <w:rFonts w:ascii="Palatino Linotype" w:hAnsi="Palatino Linotype"/>
        </w:rPr>
        <w:t>Accordingly, this study argues that the future development of international law requires a new theoretical orientation described as Collaborative Global AI Governance. This paradigm does not reject state sovereignty, nor does it replace international law with purely voluntary governance mechanisms. Instead, it reconceptualizes sovereignty as one component within a broader collaborative legal architecture in which states, international organizations, technology companies, research institutions, and civil society share responsibility for governing artificial intelligence</w:t>
      </w:r>
      <w:r w:rsidR="00045BAD">
        <w:rPr>
          <w:rFonts w:ascii="Palatino Linotype" w:hAnsi="Palatino Linotype"/>
        </w:rPr>
        <w:t xml:space="preserve"> </w:t>
      </w:r>
      <w:r w:rsidRPr="00045BAD">
        <w:rPr>
          <w:rFonts w:ascii="Palatino Linotype" w:hAnsi="Palatino Linotype"/>
        </w:rPr>
        <w:t>(Abdihakimov, 2026)</w:t>
      </w:r>
      <w:r w:rsidRPr="004C0E93">
        <w:rPr>
          <w:rFonts w:ascii="Palatino Linotype" w:hAnsi="Palatino Linotype"/>
        </w:rPr>
        <w:t>. Collaboration becomes the organizing principle through which regulatory authority, accountability, and international coordination are integrated rather than territorially separated. Within this paradigm, sovereignty functions not as an instrument of regulatory isolation but as the legal foundation enabling states to participate effectively in collective governance arrangements.</w:t>
      </w:r>
    </w:p>
    <w:p w14:paraId="0521A3F2" w14:textId="44ED5547" w:rsidR="00637B3C" w:rsidRDefault="00637B3C" w:rsidP="00045BAD">
      <w:pPr>
        <w:spacing w:line="276" w:lineRule="auto"/>
        <w:ind w:firstLine="720"/>
        <w:jc w:val="both"/>
        <w:rPr>
          <w:rFonts w:ascii="Palatino Linotype" w:hAnsi="Palatino Linotype"/>
        </w:rPr>
      </w:pPr>
      <w:r w:rsidRPr="004C0E93">
        <w:rPr>
          <w:rFonts w:ascii="Palatino Linotype" w:hAnsi="Palatino Linotype"/>
        </w:rPr>
        <w:t xml:space="preserve">The emergence of Collaborative Global AI Governance therefore represents a fundamental shift in international legal theory. Whereas classical international law organizes legal authority around sovereign states, the proposed paradigm organizes governance around shared responsibility, coordinated regulation, institutional </w:t>
      </w:r>
      <w:r w:rsidRPr="004C0E93">
        <w:rPr>
          <w:rFonts w:ascii="Palatino Linotype" w:hAnsi="Palatino Linotype"/>
        </w:rPr>
        <w:lastRenderedPageBreak/>
        <w:t>cooperation, and the protection of humanity within an interconnected digital society. International law is consequently reimagined not as a system primarily concerned with preserving territorial authority but as a collaborative governance architecture capable of regulating technologies whose operation transcends national borders. This theoretical reconstruction provides the conceptual foundation for the following section, which develops the Integrated Global AI Governance Framework (IGAGF) as a multidimensional model for governing artificial intelligence within the international legal order of the twenty-first century.</w:t>
      </w:r>
    </w:p>
    <w:p w14:paraId="3AE14339" w14:textId="77777777" w:rsidR="00045BAD" w:rsidRPr="004C0E93" w:rsidRDefault="00045BAD" w:rsidP="00045BAD">
      <w:pPr>
        <w:spacing w:line="276" w:lineRule="auto"/>
        <w:ind w:firstLine="720"/>
        <w:jc w:val="both"/>
        <w:rPr>
          <w:rFonts w:ascii="Palatino Linotype" w:hAnsi="Palatino Linotype"/>
        </w:rPr>
      </w:pPr>
    </w:p>
    <w:p w14:paraId="769B1DC1" w14:textId="6EDCB014" w:rsidR="00637B3C" w:rsidRPr="00045BAD" w:rsidRDefault="00637B3C" w:rsidP="00637B3C">
      <w:pPr>
        <w:spacing w:line="276" w:lineRule="auto"/>
        <w:jc w:val="both"/>
        <w:rPr>
          <w:rFonts w:ascii="Palatino Linotype" w:hAnsi="Palatino Linotype"/>
          <w:b/>
          <w:bCs/>
        </w:rPr>
      </w:pPr>
      <w:r w:rsidRPr="00045BAD">
        <w:rPr>
          <w:rFonts w:ascii="Palatino Linotype" w:hAnsi="Palatino Linotype"/>
          <w:b/>
          <w:bCs/>
        </w:rPr>
        <w:t>Reconstructing International Law: The Integrated Global AI Governance Framework (IGAGF)</w:t>
      </w:r>
    </w:p>
    <w:p w14:paraId="71F75015" w14:textId="77777777" w:rsidR="00E24804" w:rsidRDefault="00637B3C" w:rsidP="00E24804">
      <w:pPr>
        <w:spacing w:line="276" w:lineRule="auto"/>
        <w:ind w:firstLine="720"/>
        <w:jc w:val="both"/>
        <w:rPr>
          <w:rFonts w:ascii="Palatino Linotype" w:hAnsi="Palatino Linotype"/>
        </w:rPr>
      </w:pPr>
      <w:r w:rsidRPr="004C0E93">
        <w:rPr>
          <w:rFonts w:ascii="Palatino Linotype" w:hAnsi="Palatino Linotype"/>
        </w:rPr>
        <w:t>The preceding discussion has demonstrated that neither the traditional doctrine of state sovereignty nor contemporary approaches to digital sovereignty provide an adequate legal foundation for governing artificial intelligence within an increasingly interconnected international society. While sovereignty remains indispensable for preserving democratic legitimacy, territorial jurisdiction, and regulatory authority, the borderless operation of AI requires governance mechanisms that extend beyond the exclusive competence of individual states</w:t>
      </w:r>
      <w:r w:rsidR="00E24804">
        <w:rPr>
          <w:rFonts w:ascii="Palatino Linotype" w:hAnsi="Palatino Linotype"/>
        </w:rPr>
        <w:t xml:space="preserve"> </w:t>
      </w:r>
      <w:r w:rsidRPr="00E24804">
        <w:rPr>
          <w:rFonts w:ascii="Palatino Linotype" w:hAnsi="Palatino Linotype"/>
        </w:rPr>
        <w:t>(Cugurullo, 2026)</w:t>
      </w:r>
      <w:r w:rsidRPr="004C0E93">
        <w:rPr>
          <w:rFonts w:ascii="Palatino Linotype" w:hAnsi="Palatino Linotype"/>
        </w:rPr>
        <w:t>. Similarly, global governance theory, international AI ethics, and human rights-based approaches have significantly expanded contemporary legal thinking, yet each remains focused upon particular dimensions of AI regulation without integrating them into a coherent legal architecture capable of governing artificial intelligence across multiple jurisdictions</w:t>
      </w:r>
      <w:r w:rsidR="00E24804">
        <w:rPr>
          <w:rFonts w:ascii="Palatino Linotype" w:hAnsi="Palatino Linotype"/>
        </w:rPr>
        <w:t xml:space="preserve"> </w:t>
      </w:r>
      <w:r w:rsidRPr="00E24804">
        <w:rPr>
          <w:rFonts w:ascii="Palatino Linotype" w:hAnsi="Palatino Linotype"/>
        </w:rPr>
        <w:t>(Moynihan, 2026)</w:t>
      </w:r>
      <w:r w:rsidRPr="004C0E93">
        <w:rPr>
          <w:rFonts w:ascii="Palatino Linotype" w:hAnsi="Palatino Linotype"/>
        </w:rPr>
        <w:t>. Consequently, the principal challenge confronting twenty-first-century international law is no longer the absence of regulatory initiatives but the absence of an integrated governance model capable of reconciling national sovereignty with collective international responsibility.</w:t>
      </w:r>
    </w:p>
    <w:p w14:paraId="53D6D89C" w14:textId="77777777" w:rsidR="00E24804" w:rsidRDefault="00637B3C" w:rsidP="00E24804">
      <w:pPr>
        <w:spacing w:line="276" w:lineRule="auto"/>
        <w:ind w:firstLine="720"/>
        <w:jc w:val="both"/>
        <w:rPr>
          <w:rFonts w:ascii="Palatino Linotype" w:hAnsi="Palatino Linotype"/>
        </w:rPr>
      </w:pPr>
      <w:r w:rsidRPr="004C0E93">
        <w:rPr>
          <w:rFonts w:ascii="Palatino Linotype" w:hAnsi="Palatino Linotype"/>
        </w:rPr>
        <w:t xml:space="preserve">This study therefore proposes the Integrated Global AI Governance Framework (IGAGF) as a multidimensional model for reconstructing international law in response to artificial intelligence. Unlike existing approaches that emphasize either state regulation or international cooperation independently, the IGAGF conceptualizes AI governance as an interconnected legal ecosystem in which states, international organizations, private technology companies, academic institutions, technical communities, and civil society collectively contribute to the governance of artificial intelligence. The framework does </w:t>
      </w:r>
      <w:r w:rsidRPr="004C0E93">
        <w:rPr>
          <w:rFonts w:ascii="Palatino Linotype" w:hAnsi="Palatino Linotype"/>
        </w:rPr>
        <w:lastRenderedPageBreak/>
        <w:t>not seek to replace the existing international legal order but rather to expand its institutional capacity by integrating sovereignty, collaboration, accountability, technological governance, and human protection into a single governance architecture</w:t>
      </w:r>
      <w:r w:rsidR="00E24804">
        <w:rPr>
          <w:rFonts w:ascii="Palatino Linotype" w:hAnsi="Palatino Linotype"/>
        </w:rPr>
        <w:t xml:space="preserve"> </w:t>
      </w:r>
      <w:r w:rsidRPr="00E24804">
        <w:rPr>
          <w:rFonts w:ascii="Palatino Linotype" w:hAnsi="Palatino Linotype"/>
        </w:rPr>
        <w:t>(Truby et al., 2026)</w:t>
      </w:r>
      <w:r w:rsidRPr="004C0E93">
        <w:rPr>
          <w:rFonts w:ascii="Palatino Linotype" w:hAnsi="Palatino Linotype"/>
        </w:rPr>
        <w:t>. Accordingly, the effectiveness of international law should no longer be evaluated solely according to state compliance with international obligations but according to its capacity to govern globally interconnected technologies while simultaneously protecting humanity, promoting innovation, and preserving international stability.</w:t>
      </w:r>
      <w:r w:rsidR="00E24804">
        <w:rPr>
          <w:rFonts w:ascii="Palatino Linotype" w:hAnsi="Palatino Linotype"/>
        </w:rPr>
        <w:t xml:space="preserve"> </w:t>
      </w:r>
      <w:r w:rsidRPr="004C0E93">
        <w:rPr>
          <w:rFonts w:ascii="Palatino Linotype" w:hAnsi="Palatino Linotype"/>
        </w:rPr>
        <w:t>The proposed framework consists of five mutually reinforcing dimensions that together establish a comprehensive model for global AI governance.</w:t>
      </w:r>
    </w:p>
    <w:p w14:paraId="029AA19A" w14:textId="77777777" w:rsidR="00E24804" w:rsidRDefault="00637B3C" w:rsidP="00E24804">
      <w:pPr>
        <w:spacing w:line="276" w:lineRule="auto"/>
        <w:ind w:firstLine="720"/>
        <w:jc w:val="both"/>
        <w:rPr>
          <w:rFonts w:ascii="Palatino Linotype" w:hAnsi="Palatino Linotype"/>
        </w:rPr>
      </w:pPr>
      <w:r w:rsidRPr="004C0E93">
        <w:rPr>
          <w:rFonts w:ascii="Palatino Linotype" w:hAnsi="Palatino Linotype"/>
        </w:rPr>
        <w:t>The first dimension recognizes digital sovereignty as the legal foundation of international AI governance. States retain the primary responsibility for regulating artificial intelligence within their domestic jurisdictions through legislation, public policy, cybersecurity measures, data governance, and institutional oversight. Digital sovereignty therefore remains essential for preserving democratic accountability, protecting national security, safeguarding digital infrastructure, and ensuring that technological innovation develops consistently with domestic constitutional values</w:t>
      </w:r>
      <w:r w:rsidR="00E24804">
        <w:rPr>
          <w:rFonts w:ascii="Palatino Linotype" w:hAnsi="Palatino Linotype"/>
        </w:rPr>
        <w:t xml:space="preserve"> </w:t>
      </w:r>
      <w:r w:rsidRPr="00E24804">
        <w:rPr>
          <w:rFonts w:ascii="Palatino Linotype" w:hAnsi="Palatino Linotype"/>
        </w:rPr>
        <w:t>(Olawale, 2026)</w:t>
      </w:r>
      <w:r w:rsidR="00E24804">
        <w:rPr>
          <w:rStyle w:val="Hyperlink"/>
          <w:rFonts w:ascii="Palatino Linotype" w:hAnsi="Palatino Linotype"/>
        </w:rPr>
        <w:t>.</w:t>
      </w:r>
      <w:r w:rsidRPr="004C0E93">
        <w:rPr>
          <w:rFonts w:ascii="Palatino Linotype" w:hAnsi="Palatino Linotype"/>
        </w:rPr>
        <w:t xml:space="preserve"> However, within the IGAGF, sovereignty is understood as cooperative sovereignty rather than exclusive sovereignty. National regulatory autonomy is preserved while simultaneously operating within internationally coordinated legal standards designed to facilitate interoperability, legal certainty, and cross-border cooperation. Sovereignty therefore functions as the point of entry into global governance rather than a barrier against international collaboration.</w:t>
      </w:r>
    </w:p>
    <w:p w14:paraId="28054A90" w14:textId="77777777" w:rsidR="00E24804" w:rsidRDefault="00637B3C" w:rsidP="00E24804">
      <w:pPr>
        <w:spacing w:line="276" w:lineRule="auto"/>
        <w:ind w:firstLine="720"/>
        <w:jc w:val="both"/>
        <w:rPr>
          <w:rFonts w:ascii="Palatino Linotype" w:hAnsi="Palatino Linotype"/>
        </w:rPr>
      </w:pPr>
      <w:r w:rsidRPr="004C0E93">
        <w:rPr>
          <w:rFonts w:ascii="Palatino Linotype" w:hAnsi="Palatino Linotype"/>
        </w:rPr>
        <w:t xml:space="preserve">The second dimension introduces the principle of shared international responsibility as a response to the increasingly distributed nature of AI development and deployment. Unlike conventional international law, which attributes responsibility primarily to sovereign states, AI governance requires a broader allocation of legal responsibility among governments, international organizations, technology developers, multinational corporations, cloud service providers, research institutions, and platform operators. Every actor participating in the AI ecosystem exercises a degree of influence over technological outcomes and therefore bears corresponding governance </w:t>
      </w:r>
      <w:proofErr w:type="gramStart"/>
      <w:r w:rsidRPr="004C0E93">
        <w:rPr>
          <w:rFonts w:ascii="Palatino Linotype" w:hAnsi="Palatino Linotype"/>
        </w:rPr>
        <w:t>responsibilities</w:t>
      </w:r>
      <w:r w:rsidRPr="00E24804">
        <w:rPr>
          <w:rFonts w:ascii="Palatino Linotype" w:hAnsi="Palatino Linotype"/>
        </w:rPr>
        <w:t>(</w:t>
      </w:r>
      <w:proofErr w:type="gramEnd"/>
      <w:r w:rsidRPr="00E24804">
        <w:rPr>
          <w:rFonts w:ascii="Palatino Linotype" w:hAnsi="Palatino Linotype"/>
        </w:rPr>
        <w:t>Borkowska &amp; Jackson, 2026)</w:t>
      </w:r>
      <w:r w:rsidRPr="004C0E93">
        <w:rPr>
          <w:rFonts w:ascii="Palatino Linotype" w:hAnsi="Palatino Linotype"/>
        </w:rPr>
        <w:t xml:space="preserve">. Shared responsibility does not diminish state accountability but complements it by recognizing that effective AI governance depends upon coordinated obligations extending beyond public institutions. This </w:t>
      </w:r>
      <w:r w:rsidRPr="004C0E93">
        <w:rPr>
          <w:rFonts w:ascii="Palatino Linotype" w:hAnsi="Palatino Linotype"/>
        </w:rPr>
        <w:lastRenderedPageBreak/>
        <w:t>dimension significantly reduces accountability gaps while strengthening international cooperation in addressing transnational AI risks.</w:t>
      </w:r>
    </w:p>
    <w:p w14:paraId="27C62839" w14:textId="7A6FA476" w:rsidR="00E24804" w:rsidRDefault="00637B3C" w:rsidP="00E24804">
      <w:pPr>
        <w:spacing w:line="276" w:lineRule="auto"/>
        <w:ind w:firstLine="720"/>
        <w:jc w:val="both"/>
        <w:rPr>
          <w:rFonts w:ascii="Palatino Linotype" w:hAnsi="Palatino Linotype"/>
        </w:rPr>
      </w:pPr>
      <w:r w:rsidRPr="004C0E93">
        <w:rPr>
          <w:rFonts w:ascii="Palatino Linotype" w:hAnsi="Palatino Linotype"/>
        </w:rPr>
        <w:t>The third dimension recognizes that AI governance cannot be monopolized by governments alone. Effective international regulation requires structured collaboration among diverse actors possessing complementary expertise and institutional capacities. International organizations establish normative standards; states enact domestic legislation; technology companies implement technical safeguards; academic institutions contribute scientific knowledge; civil society organizations represent public interests; and technical communities develop operational standards ensuring interoperability and technological safety</w:t>
      </w:r>
      <w:r w:rsidR="00E24804">
        <w:rPr>
          <w:rFonts w:ascii="Palatino Linotype" w:hAnsi="Palatino Linotype"/>
        </w:rPr>
        <w:t xml:space="preserve"> </w:t>
      </w:r>
      <w:r w:rsidRPr="00E24804">
        <w:rPr>
          <w:rFonts w:ascii="Palatino Linotype" w:hAnsi="Palatino Linotype"/>
        </w:rPr>
        <w:t>(Li, 2025)</w:t>
      </w:r>
      <w:r w:rsidRPr="004C0E93">
        <w:rPr>
          <w:rFonts w:ascii="Palatino Linotype" w:hAnsi="Palatino Linotype"/>
        </w:rPr>
        <w:t>. The IGAGF therefore adopts a multistakeholder governance model in which decision-making remains collaborative rather than hierarchical. Such an approach enhances regulatory legitimacy, promotes institutional inclusiveness, and enables international law to respond more effectively to rapidly evolving technological developments.</w:t>
      </w:r>
    </w:p>
    <w:p w14:paraId="63381A92" w14:textId="77777777" w:rsidR="003C08D2" w:rsidRDefault="00637B3C" w:rsidP="003C08D2">
      <w:pPr>
        <w:spacing w:line="276" w:lineRule="auto"/>
        <w:ind w:firstLine="720"/>
        <w:jc w:val="both"/>
        <w:rPr>
          <w:rFonts w:ascii="Palatino Linotype" w:hAnsi="Palatino Linotype"/>
        </w:rPr>
      </w:pPr>
      <w:r w:rsidRPr="004C0E93">
        <w:rPr>
          <w:rFonts w:ascii="Palatino Linotype" w:hAnsi="Palatino Linotype"/>
        </w:rPr>
        <w:t>The fourth dimension establishes accountability as the central mechanism through which legal authority is translated into responsible technological governance. Accountability within the IGAGF extends beyond traditional state responsibility by incorporating algorithmic transparency, mandatory risk assessment, explainability, human oversight, cross-border liability, regulatory auditing, and international compliance mechanisms</w:t>
      </w:r>
      <w:r w:rsidR="003C08D2">
        <w:rPr>
          <w:rFonts w:ascii="Palatino Linotype" w:hAnsi="Palatino Linotype"/>
        </w:rPr>
        <w:t xml:space="preserve"> </w:t>
      </w:r>
      <w:r w:rsidRPr="003C08D2">
        <w:rPr>
          <w:rFonts w:ascii="Palatino Linotype" w:hAnsi="Palatino Linotype"/>
        </w:rPr>
        <w:t>(Mahmud, 2026)</w:t>
      </w:r>
      <w:r w:rsidRPr="004C0E93">
        <w:rPr>
          <w:rFonts w:ascii="Palatino Linotype" w:hAnsi="Palatino Linotype"/>
        </w:rPr>
        <w:t>. AI developers and deployers should therefore remain accountable not only to domestic regulators but also to internationally recognized governance standards capable of ensuring consistent legal protection across jurisdictions. This dimension seeks to transform ethical principles into enforceable governance obligations, thereby strengthening both legal certainty and public trust in artificial intelligence.</w:t>
      </w:r>
    </w:p>
    <w:p w14:paraId="6ABA0F50" w14:textId="77777777" w:rsidR="003C08D2" w:rsidRDefault="00637B3C" w:rsidP="003C08D2">
      <w:pPr>
        <w:spacing w:line="276" w:lineRule="auto"/>
        <w:ind w:firstLine="720"/>
        <w:jc w:val="both"/>
        <w:rPr>
          <w:rFonts w:ascii="Palatino Linotype" w:hAnsi="Palatino Linotype"/>
        </w:rPr>
      </w:pPr>
      <w:r w:rsidRPr="004C0E93">
        <w:rPr>
          <w:rFonts w:ascii="Palatino Linotype" w:hAnsi="Palatino Linotype"/>
        </w:rPr>
        <w:t>The fifth dimension represents the ultimate objective of the proposed framework. International law has historically sought to preserve international peace, protect human rights, and promote cooperation among states. In the age of artificial intelligence, these objectives must expand toward protecting humanity within increasingly digital societies. Global human protection therefore encompasses the safeguarding of fundamental human rights, digital equality, technological inclusion, AI safety, democratic integrity, sustainable development, and international peace</w:t>
      </w:r>
      <w:r w:rsidR="003C08D2">
        <w:rPr>
          <w:rFonts w:ascii="Palatino Linotype" w:hAnsi="Palatino Linotype"/>
        </w:rPr>
        <w:t xml:space="preserve"> </w:t>
      </w:r>
      <w:r w:rsidRPr="003C08D2">
        <w:rPr>
          <w:rFonts w:ascii="Palatino Linotype" w:hAnsi="Palatino Linotype"/>
        </w:rPr>
        <w:t>(Waisová &amp; Cabada, 2025)</w:t>
      </w:r>
      <w:r w:rsidRPr="004C0E93">
        <w:rPr>
          <w:rFonts w:ascii="Palatino Linotype" w:hAnsi="Palatino Linotype"/>
        </w:rPr>
        <w:t>. Rather than treating technological innovation as an end in itself, the IGAGF positions human well-</w:t>
      </w:r>
      <w:r w:rsidRPr="004C0E93">
        <w:rPr>
          <w:rFonts w:ascii="Palatino Linotype" w:hAnsi="Palatino Linotype"/>
        </w:rPr>
        <w:lastRenderedPageBreak/>
        <w:t>being as the principal benchmark against which all AI governance mechanisms should ultimately be evaluated. Consequently, the legitimacy of international AI governance derives not from technological sophistication but from its capacity to protect individuals, communities, and future generations from the risks associated with artificial intelligence while enabling equitable access to its benefits.</w:t>
      </w:r>
    </w:p>
    <w:p w14:paraId="09DC26A2" w14:textId="77777777" w:rsidR="003C08D2" w:rsidRDefault="00637B3C" w:rsidP="003C08D2">
      <w:pPr>
        <w:spacing w:line="276" w:lineRule="auto"/>
        <w:ind w:firstLine="720"/>
        <w:jc w:val="both"/>
        <w:rPr>
          <w:rFonts w:ascii="Palatino Linotype" w:hAnsi="Palatino Linotype"/>
        </w:rPr>
      </w:pPr>
      <w:r w:rsidRPr="004C0E93">
        <w:rPr>
          <w:rFonts w:ascii="Palatino Linotype" w:hAnsi="Palatino Linotype"/>
        </w:rPr>
        <w:t>These five dimensions should not be understood as independent institutional components but as mutually reinforcing elements of a single governance system. Digital sovereignty provides legal legitimacy; shared international responsibility distributes governance obligations; multistakeholder governance strengthens institutional coordination; AI accountability ensures effective implementation; and global human protection defines the substantive purpose of international law</w:t>
      </w:r>
      <w:r w:rsidR="003C08D2">
        <w:rPr>
          <w:rFonts w:ascii="Palatino Linotype" w:hAnsi="Palatino Linotype"/>
        </w:rPr>
        <w:t xml:space="preserve"> </w:t>
      </w:r>
      <w:r w:rsidRPr="003C08D2">
        <w:rPr>
          <w:rFonts w:ascii="Palatino Linotype" w:hAnsi="Palatino Linotype"/>
        </w:rPr>
        <w:t>(Abdihakimov, 2026)</w:t>
      </w:r>
      <w:r w:rsidRPr="004C0E93">
        <w:rPr>
          <w:rFonts w:ascii="Palatino Linotype" w:hAnsi="Palatino Linotype"/>
        </w:rPr>
        <w:t>. The effectiveness of AI governance therefore depends upon the interaction of all five dimensions rather than the strength of any individual component. This systemic integration distinguishes the IGAGF from existing approaches, which frequently prioritize isolated regulatory objectives without establishing coherent relationships among sovereignty, governance, accountability, and human protection.</w:t>
      </w:r>
    </w:p>
    <w:p w14:paraId="6AE866A0" w14:textId="77777777" w:rsidR="003C08D2" w:rsidRDefault="00637B3C" w:rsidP="003C08D2">
      <w:pPr>
        <w:spacing w:line="276" w:lineRule="auto"/>
        <w:ind w:firstLine="720"/>
        <w:jc w:val="both"/>
        <w:rPr>
          <w:rFonts w:ascii="Palatino Linotype" w:hAnsi="Palatino Linotype"/>
        </w:rPr>
      </w:pPr>
      <w:r w:rsidRPr="004C0E93">
        <w:rPr>
          <w:rFonts w:ascii="Palatino Linotype" w:hAnsi="Palatino Linotype"/>
        </w:rPr>
        <w:t>The principal contribution of the IGAGF lies in its ability to reposition international law from a predominantly state-centred legal order toward a collaborative governance architecture capable of responding to technologies whose operation fundamentally transcends territorial boundaries. Rather than replacing sovereignty, the framework reconstructs sovereignty as one element within a broader ecosystem of shared governance, thereby preserving the legal authority of states while simultaneously strengthening international coordination and institutional collaboration</w:t>
      </w:r>
      <w:r w:rsidR="003C08D2">
        <w:rPr>
          <w:rFonts w:ascii="Palatino Linotype" w:hAnsi="Palatino Linotype"/>
        </w:rPr>
        <w:t xml:space="preserve"> </w:t>
      </w:r>
      <w:r w:rsidRPr="003C08D2">
        <w:rPr>
          <w:rFonts w:ascii="Palatino Linotype" w:hAnsi="Palatino Linotype"/>
        </w:rPr>
        <w:t>(Gurol et al., 2026)</w:t>
      </w:r>
      <w:r w:rsidRPr="004C0E93">
        <w:rPr>
          <w:rFonts w:ascii="Palatino Linotype" w:hAnsi="Palatino Linotype"/>
        </w:rPr>
        <w:t>. In doing so, the IGAGF moves beyond existing discussions of AI ethics, digital sovereignty, or international cooperation by offering a multidimensional conceptual model through which international law can evaluate, coordinate, and regulate artificial intelligence in an increasingly interconnected world.</w:t>
      </w:r>
    </w:p>
    <w:p w14:paraId="51DA4096" w14:textId="24B911B1" w:rsidR="00637B3C" w:rsidRPr="004C0E93" w:rsidRDefault="00637B3C" w:rsidP="003C08D2">
      <w:pPr>
        <w:spacing w:line="276" w:lineRule="auto"/>
        <w:ind w:firstLine="720"/>
        <w:jc w:val="both"/>
        <w:rPr>
          <w:rFonts w:ascii="Palatino Linotype" w:hAnsi="Palatino Linotype"/>
        </w:rPr>
      </w:pPr>
      <w:r w:rsidRPr="004C0E93">
        <w:rPr>
          <w:rFonts w:ascii="Palatino Linotype" w:hAnsi="Palatino Linotype"/>
        </w:rPr>
        <w:t xml:space="preserve">Accordingly, this study argues that the future development of international law should no longer be measured solely by its capacity to regulate relations among sovereign states, but by its ability to govern globally interconnected technologies through collaborative legal institutions capable of protecting humanity while preserving innovation, international stability, and sustainable digital development. The Integrated Global AI Governance Framework therefore represents not merely a proposal for </w:t>
      </w:r>
      <w:r w:rsidRPr="004C0E93">
        <w:rPr>
          <w:rFonts w:ascii="Palatino Linotype" w:hAnsi="Palatino Linotype"/>
        </w:rPr>
        <w:lastRenderedPageBreak/>
        <w:t>improving AI regulation but a broader reconstruction of international legal governance for the twenty-first century.</w:t>
      </w:r>
    </w:p>
    <w:p w14:paraId="4D368FBF" w14:textId="77777777" w:rsidR="006D7F93" w:rsidRPr="004C0E93" w:rsidRDefault="006D7F93" w:rsidP="006D7F93">
      <w:pPr>
        <w:spacing w:line="276" w:lineRule="auto"/>
        <w:jc w:val="both"/>
        <w:rPr>
          <w:rFonts w:ascii="Palatino Linotype" w:hAnsi="Palatino Linotype"/>
        </w:rPr>
      </w:pPr>
    </w:p>
    <w:p w14:paraId="3ADD7248" w14:textId="77777777" w:rsidR="00D72425" w:rsidRPr="003C08D2" w:rsidRDefault="00D72425" w:rsidP="006D7F93">
      <w:pPr>
        <w:spacing w:line="276" w:lineRule="auto"/>
        <w:jc w:val="both"/>
        <w:rPr>
          <w:rFonts w:ascii="Palatino Linotype" w:hAnsi="Palatino Linotype"/>
          <w:b/>
          <w:bCs/>
        </w:rPr>
      </w:pPr>
      <w:r w:rsidRPr="003C08D2">
        <w:rPr>
          <w:rFonts w:ascii="Palatino Linotype" w:hAnsi="Palatino Linotype"/>
          <w:b/>
          <w:bCs/>
        </w:rPr>
        <w:t>Conclusion</w:t>
      </w:r>
    </w:p>
    <w:p w14:paraId="7BDD9427" w14:textId="408B794C" w:rsidR="00D72425" w:rsidRPr="006D7F93" w:rsidRDefault="00D72425" w:rsidP="006D7F93">
      <w:pPr>
        <w:spacing w:line="276" w:lineRule="auto"/>
        <w:jc w:val="both"/>
        <w:rPr>
          <w:rFonts w:ascii="Palatino Linotype" w:hAnsi="Palatino Linotype"/>
        </w:rPr>
      </w:pPr>
      <w:r w:rsidRPr="004C0E93">
        <w:rPr>
          <w:rFonts w:ascii="Palatino Linotype" w:hAnsi="Palatino Linotype"/>
        </w:rPr>
        <w:t>This study demonstrates that the rapid expansion of artificial intelligence has fundamentally challenged the state-centred foundations of contemporary international law. Although the principles of state sovereignty, territorial jurisdiction, and state responsibility continue to provide essential legal legitimacy within the international legal order, they are increasingly inadequate for governing technologies that operate across interconnected digital ecosystems without regard to territorial boundaries. Fragmented national regulations, jurisdictional conflicts, accountability gaps, regulatory competition, digital inequality, and weak international coordination collectively reveal that the principal challenge confronting international law is no longer merely technological innovation, but the inability of existing legal structures to govern borderless artificial intelligence effectively. Accordingly, the governance of AI requires a conceptual transformation that extends beyond conventional sovereignty toward more collaborative forms of international legal regulation.</w:t>
      </w:r>
      <w:r w:rsidR="003C08D2">
        <w:rPr>
          <w:rFonts w:ascii="Palatino Linotype" w:hAnsi="Palatino Linotype"/>
        </w:rPr>
        <w:t xml:space="preserve"> </w:t>
      </w:r>
      <w:r w:rsidRPr="004C0E93">
        <w:rPr>
          <w:rFonts w:ascii="Palatino Linotype" w:hAnsi="Palatino Linotype"/>
        </w:rPr>
        <w:t>By critically examining the evolution of state sovereignty, digital sovereignty, global governance, AI ethics, and international</w:t>
      </w:r>
      <w:r w:rsidRPr="006D7F93">
        <w:rPr>
          <w:rFonts w:ascii="Palatino Linotype" w:hAnsi="Palatino Linotype"/>
        </w:rPr>
        <w:t xml:space="preserve"> legal theory, this study argues that existing approaches have substantially enriched contemporary discussions but remain analytically fragmented. Each perspective contributes an important dimension of AI governance, yet none integrates sovereignty, shared responsibility, institutional collaboration, accountability, and human protection within a unified legal architecture. This conceptual fragmentation limits the capacity of international law to respond coherently to the increasingly complex governance challenges generated by artificial intelligence.</w:t>
      </w:r>
      <w:r w:rsidR="003C08D2">
        <w:rPr>
          <w:rFonts w:ascii="Palatino Linotype" w:hAnsi="Palatino Linotype"/>
        </w:rPr>
        <w:t xml:space="preserve"> </w:t>
      </w:r>
      <w:r w:rsidRPr="006D7F93">
        <w:rPr>
          <w:rFonts w:ascii="Palatino Linotype" w:hAnsi="Palatino Linotype"/>
        </w:rPr>
        <w:t xml:space="preserve">The principal contribution of this study is the development of the Integrated Global AI Governance Framework (IGAGF) as a multidimensional model for reconstructing international law in the age of artificial intelligence. By integrating five interconnected dimensions digital sovereignty, shared international responsibility, multistakeholder governance, AI accountability, and global human protection the framework repositions international law from a predominantly state-centred legal order toward a collaborative governance architecture capable of regulating borderless technologies while preserving legitimate state interests and protecting humanity. The IGAGF therefore provides both a theoretical foundation and a </w:t>
      </w:r>
      <w:r w:rsidRPr="006D7F93">
        <w:rPr>
          <w:rFonts w:ascii="Palatino Linotype" w:hAnsi="Palatino Linotype"/>
        </w:rPr>
        <w:lastRenderedPageBreak/>
        <w:t>normative reference for future international legal reform aimed at strengthening global cooperation, regulatory coherence, technological accountability, and sustainable AI governance. Future research should empirically examine the applicability of this framework across different regional organizations, international institutions, and national legal systems to assess its practical relevance in the evolving global governance of artificial intelligence.</w:t>
      </w:r>
    </w:p>
    <w:p w14:paraId="4D547766" w14:textId="77777777" w:rsidR="001F1D1A" w:rsidRDefault="001F1D1A" w:rsidP="00637B3C">
      <w:pPr>
        <w:spacing w:line="276" w:lineRule="auto"/>
        <w:jc w:val="both"/>
        <w:rPr>
          <w:rFonts w:ascii="Palatino Linotype" w:hAnsi="Palatino Linotype"/>
        </w:rPr>
      </w:pPr>
    </w:p>
    <w:p w14:paraId="08E12555" w14:textId="2FCAEDCC" w:rsidR="00637B3C" w:rsidRPr="003C08D2" w:rsidRDefault="00637B3C" w:rsidP="00637B3C">
      <w:pPr>
        <w:spacing w:line="276" w:lineRule="auto"/>
        <w:jc w:val="both"/>
        <w:rPr>
          <w:rFonts w:ascii="Palatino Linotype" w:hAnsi="Palatino Linotype"/>
          <w:b/>
          <w:bCs/>
        </w:rPr>
      </w:pPr>
      <w:r w:rsidRPr="003C08D2">
        <w:rPr>
          <w:rFonts w:ascii="Palatino Linotype" w:hAnsi="Palatino Linotype"/>
          <w:b/>
          <w:bCs/>
        </w:rPr>
        <w:t>Refrences</w:t>
      </w:r>
    </w:p>
    <w:p w14:paraId="4AD4758B" w14:textId="351211FA" w:rsidR="00637B3C" w:rsidRPr="00637B3C" w:rsidRDefault="00637B3C" w:rsidP="003C08D2">
      <w:pPr>
        <w:ind w:left="720" w:hanging="720"/>
        <w:jc w:val="both"/>
        <w:rPr>
          <w:rFonts w:ascii="Palatino Linotype" w:hAnsi="Palatino Linotype"/>
        </w:rPr>
      </w:pPr>
      <w:r w:rsidRPr="00637B3C">
        <w:rPr>
          <w:rFonts w:ascii="Palatino Linotype" w:hAnsi="Palatino Linotype"/>
        </w:rPr>
        <w:t>Abdihakimov, F. (2026). Beyond Legal Personhood Collective and Graduated Legal Subjectivity of Artificial Intelligence. </w:t>
      </w:r>
      <w:r w:rsidRPr="00637B3C">
        <w:rPr>
          <w:rFonts w:ascii="Palatino Linotype" w:hAnsi="Palatino Linotype"/>
          <w:i/>
          <w:iCs/>
        </w:rPr>
        <w:t>International Journal of Law and Policy</w:t>
      </w:r>
      <w:r w:rsidRPr="00637B3C">
        <w:rPr>
          <w:rFonts w:ascii="Palatino Linotype" w:hAnsi="Palatino Linotype"/>
        </w:rPr>
        <w:t>, </w:t>
      </w:r>
      <w:r w:rsidRPr="00637B3C">
        <w:rPr>
          <w:rFonts w:ascii="Palatino Linotype" w:hAnsi="Palatino Linotype"/>
          <w:i/>
          <w:iCs/>
        </w:rPr>
        <w:t>4</w:t>
      </w:r>
      <w:r w:rsidRPr="00637B3C">
        <w:rPr>
          <w:rFonts w:ascii="Palatino Linotype" w:hAnsi="Palatino Linotype"/>
        </w:rPr>
        <w:t>(5), 23–43. </w:t>
      </w:r>
      <w:hyperlink r:id="rId10" w:history="1">
        <w:r w:rsidR="003C08D2" w:rsidRPr="00177029">
          <w:rPr>
            <w:rStyle w:val="Hyperlink"/>
            <w:rFonts w:ascii="Palatino Linotype" w:hAnsi="Palatino Linotype"/>
          </w:rPr>
          <w:t>https://doi.org/10.59022/ijlp.590</w:t>
        </w:r>
      </w:hyperlink>
    </w:p>
    <w:p w14:paraId="53AE41D7" w14:textId="77777777" w:rsidR="00637B3C" w:rsidRPr="00637B3C" w:rsidRDefault="00637B3C" w:rsidP="003C08D2">
      <w:pPr>
        <w:ind w:left="720" w:hanging="720"/>
        <w:jc w:val="both"/>
        <w:rPr>
          <w:rFonts w:ascii="Palatino Linotype" w:hAnsi="Palatino Linotype"/>
        </w:rPr>
      </w:pPr>
      <w:r w:rsidRPr="00637B3C">
        <w:rPr>
          <w:rFonts w:ascii="Palatino Linotype" w:hAnsi="Palatino Linotype"/>
        </w:rPr>
        <w:t>Abrardi, L., Comino, S., &amp; Grassini, S. (2025). The economics of cyber risk: a survey of the literature. </w:t>
      </w:r>
      <w:r w:rsidRPr="00637B3C">
        <w:rPr>
          <w:rFonts w:ascii="Palatino Linotype" w:hAnsi="Palatino Linotype"/>
          <w:i/>
          <w:iCs/>
        </w:rPr>
        <w:t>Journal of Industrial and Business Economics</w:t>
      </w:r>
      <w:r w:rsidRPr="00637B3C">
        <w:rPr>
          <w:rFonts w:ascii="Palatino Linotype" w:hAnsi="Palatino Linotype"/>
        </w:rPr>
        <w:t>, </w:t>
      </w:r>
      <w:r w:rsidRPr="00637B3C">
        <w:rPr>
          <w:rFonts w:ascii="Palatino Linotype" w:hAnsi="Palatino Linotype"/>
          <w:i/>
          <w:iCs/>
        </w:rPr>
        <w:t>53</w:t>
      </w:r>
      <w:r w:rsidRPr="00637B3C">
        <w:rPr>
          <w:rFonts w:ascii="Palatino Linotype" w:hAnsi="Palatino Linotype"/>
        </w:rPr>
        <w:t>(2), 573–607. </w:t>
      </w:r>
      <w:hyperlink r:id="rId11" w:tgtFrame="_blank" w:history="1">
        <w:r w:rsidRPr="00637B3C">
          <w:rPr>
            <w:rStyle w:val="Hyperlink"/>
            <w:rFonts w:ascii="Palatino Linotype" w:hAnsi="Palatino Linotype"/>
          </w:rPr>
          <w:t>https://doi.org/10.1007/s40812-025-00370-3</w:t>
        </w:r>
      </w:hyperlink>
    </w:p>
    <w:p w14:paraId="5F20C7F8" w14:textId="77777777" w:rsidR="00637B3C" w:rsidRPr="00637B3C" w:rsidRDefault="00637B3C" w:rsidP="003C08D2">
      <w:pPr>
        <w:ind w:left="720" w:hanging="720"/>
        <w:jc w:val="both"/>
        <w:rPr>
          <w:rFonts w:ascii="Palatino Linotype" w:hAnsi="Palatino Linotype"/>
        </w:rPr>
      </w:pPr>
      <w:r w:rsidRPr="00637B3C">
        <w:rPr>
          <w:rFonts w:ascii="Palatino Linotype" w:hAnsi="Palatino Linotype"/>
        </w:rPr>
        <w:t>Aflatounian, S., Subramaniyan, S., Luo, K., Dewanjee, S., Ganesan, V., Gittus, O. R., Müller, E. A., Prentice, G., Payne, M. J., Stillwell, A., Braun, P. V., &amp; Miljkovic, N. (2026). Comparative evaluation of dielectric liquids for single-phase immersion cooling of electronics. </w:t>
      </w:r>
      <w:r w:rsidRPr="00637B3C">
        <w:rPr>
          <w:rFonts w:ascii="Palatino Linotype" w:hAnsi="Palatino Linotype"/>
          <w:i/>
          <w:iCs/>
        </w:rPr>
        <w:t>International Journal of Heat and Mass Transfer</w:t>
      </w:r>
      <w:r w:rsidRPr="00637B3C">
        <w:rPr>
          <w:rFonts w:ascii="Palatino Linotype" w:hAnsi="Palatino Linotype"/>
        </w:rPr>
        <w:t>, </w:t>
      </w:r>
      <w:r w:rsidRPr="00637B3C">
        <w:rPr>
          <w:rFonts w:ascii="Palatino Linotype" w:hAnsi="Palatino Linotype"/>
          <w:i/>
          <w:iCs/>
        </w:rPr>
        <w:t>265</w:t>
      </w:r>
      <w:r w:rsidRPr="00637B3C">
        <w:rPr>
          <w:rFonts w:ascii="Palatino Linotype" w:hAnsi="Palatino Linotype"/>
        </w:rPr>
        <w:t>, 128765–128765. </w:t>
      </w:r>
      <w:hyperlink r:id="rId12" w:tgtFrame="_blank" w:history="1">
        <w:r w:rsidRPr="00637B3C">
          <w:rPr>
            <w:rStyle w:val="Hyperlink"/>
            <w:rFonts w:ascii="Palatino Linotype" w:hAnsi="Palatino Linotype"/>
          </w:rPr>
          <w:t>https://doi.org/10.1016/j.ijheatmasstransfer.2026.128765</w:t>
        </w:r>
      </w:hyperlink>
    </w:p>
    <w:p w14:paraId="07A46065" w14:textId="77777777" w:rsidR="00637B3C" w:rsidRPr="00637B3C" w:rsidRDefault="00637B3C" w:rsidP="003C08D2">
      <w:pPr>
        <w:ind w:left="720" w:hanging="720"/>
        <w:jc w:val="both"/>
        <w:rPr>
          <w:rFonts w:ascii="Palatino Linotype" w:hAnsi="Palatino Linotype"/>
        </w:rPr>
      </w:pPr>
      <w:r w:rsidRPr="00637B3C">
        <w:rPr>
          <w:rFonts w:ascii="Palatino Linotype" w:hAnsi="Palatino Linotype"/>
        </w:rPr>
        <w:t>Almakaty, S. (2026). Algorithmic Diplomacy and the Geopolitics of Artificial Intelligence: Machine-Driven International Relations in a Data-Oriented Global Landscape. In </w:t>
      </w:r>
      <w:r w:rsidRPr="00637B3C">
        <w:rPr>
          <w:rFonts w:ascii="Palatino Linotype" w:hAnsi="Palatino Linotype"/>
          <w:i/>
          <w:iCs/>
        </w:rPr>
        <w:t>Preprints.org</w:t>
      </w:r>
      <w:r w:rsidRPr="00637B3C">
        <w:rPr>
          <w:rFonts w:ascii="Palatino Linotype" w:hAnsi="Palatino Linotype"/>
        </w:rPr>
        <w:t>. </w:t>
      </w:r>
      <w:hyperlink r:id="rId13" w:tgtFrame="_blank" w:history="1">
        <w:r w:rsidRPr="00637B3C">
          <w:rPr>
            <w:rStyle w:val="Hyperlink"/>
            <w:rFonts w:ascii="Palatino Linotype" w:hAnsi="Palatino Linotype"/>
          </w:rPr>
          <w:t>https://doi.org/10.20944/preprints202603.0683.v1</w:t>
        </w:r>
      </w:hyperlink>
    </w:p>
    <w:p w14:paraId="4812BA5D" w14:textId="77777777" w:rsidR="00637B3C" w:rsidRPr="00637B3C" w:rsidRDefault="00637B3C" w:rsidP="003C08D2">
      <w:pPr>
        <w:ind w:left="720" w:hanging="720"/>
        <w:jc w:val="both"/>
        <w:rPr>
          <w:rFonts w:ascii="Palatino Linotype" w:hAnsi="Palatino Linotype"/>
        </w:rPr>
      </w:pPr>
      <w:r w:rsidRPr="00637B3C">
        <w:rPr>
          <w:rFonts w:ascii="Palatino Linotype" w:hAnsi="Palatino Linotype"/>
        </w:rPr>
        <w:t>Bilia, V., &amp; Marcelo, L. (2025). THE LEGAL POTENTIALS AND LIMITATIONS OF SOFT LAW: EFFECTS, DOCTRINAL COMPARISONS, AND THEIR IMPLICATIONS FOR SOVEREIGNTY AND INTERNATIONAL HUMANITARIAN LAW. </w:t>
      </w:r>
      <w:r w:rsidRPr="00637B3C">
        <w:rPr>
          <w:rFonts w:ascii="Palatino Linotype" w:hAnsi="Palatino Linotype"/>
          <w:i/>
          <w:iCs/>
        </w:rPr>
        <w:t>Zenodo (CERN European Organization for Nuclear Research)</w:t>
      </w:r>
      <w:r w:rsidRPr="00637B3C">
        <w:rPr>
          <w:rFonts w:ascii="Palatino Linotype" w:hAnsi="Palatino Linotype"/>
        </w:rPr>
        <w:t>. </w:t>
      </w:r>
      <w:hyperlink r:id="rId14" w:tgtFrame="_blank" w:history="1">
        <w:r w:rsidRPr="00637B3C">
          <w:rPr>
            <w:rStyle w:val="Hyperlink"/>
            <w:rFonts w:ascii="Palatino Linotype" w:hAnsi="Palatino Linotype"/>
          </w:rPr>
          <w:t>https://doi.org/10.5281/zenodo.17699957</w:t>
        </w:r>
      </w:hyperlink>
    </w:p>
    <w:p w14:paraId="11845A0E" w14:textId="77777777" w:rsidR="00637B3C" w:rsidRPr="00637B3C" w:rsidRDefault="00637B3C" w:rsidP="003C08D2">
      <w:pPr>
        <w:ind w:left="720" w:hanging="720"/>
        <w:jc w:val="both"/>
        <w:rPr>
          <w:rFonts w:ascii="Palatino Linotype" w:hAnsi="Palatino Linotype"/>
        </w:rPr>
      </w:pPr>
      <w:r w:rsidRPr="00637B3C">
        <w:rPr>
          <w:rFonts w:ascii="Palatino Linotype" w:hAnsi="Palatino Linotype"/>
        </w:rPr>
        <w:t>Borkowska, K., &amp; Jackson, D. (2026). From moral panic to pragmatic governance: reframing AI’s societal impacts in employment, education, and ethics. </w:t>
      </w:r>
      <w:r w:rsidRPr="00637B3C">
        <w:rPr>
          <w:rFonts w:ascii="Palatino Linotype" w:hAnsi="Palatino Linotype"/>
          <w:i/>
          <w:iCs/>
        </w:rPr>
        <w:t>AI &amp; Society</w:t>
      </w:r>
      <w:r w:rsidRPr="00637B3C">
        <w:rPr>
          <w:rFonts w:ascii="Palatino Linotype" w:hAnsi="Palatino Linotype"/>
        </w:rPr>
        <w:t>, </w:t>
      </w:r>
      <w:r w:rsidRPr="00637B3C">
        <w:rPr>
          <w:rFonts w:ascii="Palatino Linotype" w:hAnsi="Palatino Linotype"/>
          <w:i/>
          <w:iCs/>
        </w:rPr>
        <w:t>41</w:t>
      </w:r>
      <w:r w:rsidRPr="00637B3C">
        <w:rPr>
          <w:rFonts w:ascii="Palatino Linotype" w:hAnsi="Palatino Linotype"/>
        </w:rPr>
        <w:t>(5), 5371–5383. </w:t>
      </w:r>
      <w:hyperlink r:id="rId15" w:tgtFrame="_blank" w:history="1">
        <w:r w:rsidRPr="00637B3C">
          <w:rPr>
            <w:rStyle w:val="Hyperlink"/>
            <w:rFonts w:ascii="Palatino Linotype" w:hAnsi="Palatino Linotype"/>
          </w:rPr>
          <w:t>https://doi.org/10.1007/s00146-026-02921-1</w:t>
        </w:r>
      </w:hyperlink>
    </w:p>
    <w:p w14:paraId="1D7F7D84" w14:textId="77777777" w:rsidR="00637B3C" w:rsidRPr="00637B3C" w:rsidRDefault="00637B3C" w:rsidP="003C08D2">
      <w:pPr>
        <w:ind w:left="720" w:hanging="720"/>
        <w:jc w:val="both"/>
        <w:rPr>
          <w:rFonts w:ascii="Palatino Linotype" w:hAnsi="Palatino Linotype"/>
        </w:rPr>
      </w:pPr>
      <w:r w:rsidRPr="00637B3C">
        <w:rPr>
          <w:rFonts w:ascii="Palatino Linotype" w:hAnsi="Palatino Linotype"/>
        </w:rPr>
        <w:t>Brunk, I., &amp; Hakimi, M. (2024). The Prohibition of Annexations and the Foundations of Modern International Law. </w:t>
      </w:r>
      <w:r w:rsidRPr="00637B3C">
        <w:rPr>
          <w:rFonts w:ascii="Palatino Linotype" w:hAnsi="Palatino Linotype"/>
          <w:i/>
          <w:iCs/>
        </w:rPr>
        <w:t>American Journal of International Law</w:t>
      </w:r>
      <w:r w:rsidRPr="00637B3C">
        <w:rPr>
          <w:rFonts w:ascii="Palatino Linotype" w:hAnsi="Palatino Linotype"/>
        </w:rPr>
        <w:t>, </w:t>
      </w:r>
      <w:r w:rsidRPr="00637B3C">
        <w:rPr>
          <w:rFonts w:ascii="Palatino Linotype" w:hAnsi="Palatino Linotype"/>
          <w:i/>
          <w:iCs/>
        </w:rPr>
        <w:t>118</w:t>
      </w:r>
      <w:r w:rsidRPr="00637B3C">
        <w:rPr>
          <w:rFonts w:ascii="Palatino Linotype" w:hAnsi="Palatino Linotype"/>
        </w:rPr>
        <w:t>(3), 417–467. </w:t>
      </w:r>
      <w:hyperlink r:id="rId16" w:tgtFrame="_blank" w:history="1">
        <w:r w:rsidRPr="00637B3C">
          <w:rPr>
            <w:rStyle w:val="Hyperlink"/>
            <w:rFonts w:ascii="Palatino Linotype" w:hAnsi="Palatino Linotype"/>
          </w:rPr>
          <w:t>https://doi.org/10.1017/ajil.2024.26</w:t>
        </w:r>
      </w:hyperlink>
    </w:p>
    <w:p w14:paraId="3EFEEDCC" w14:textId="77777777" w:rsidR="00637B3C" w:rsidRPr="00637B3C" w:rsidRDefault="00637B3C" w:rsidP="003C08D2">
      <w:pPr>
        <w:ind w:left="720" w:hanging="720"/>
        <w:jc w:val="both"/>
        <w:rPr>
          <w:rFonts w:ascii="Palatino Linotype" w:hAnsi="Palatino Linotype"/>
        </w:rPr>
      </w:pPr>
      <w:r w:rsidRPr="00637B3C">
        <w:rPr>
          <w:rFonts w:ascii="Palatino Linotype" w:hAnsi="Palatino Linotype"/>
        </w:rPr>
        <w:t>Christodoulou, E., &amp; Zembylas, M. (2026). Artificial intelligence as a site of global educational governance: the case of UNESCO. </w:t>
      </w:r>
      <w:r w:rsidRPr="00637B3C">
        <w:rPr>
          <w:rFonts w:ascii="Palatino Linotype" w:hAnsi="Palatino Linotype"/>
          <w:i/>
          <w:iCs/>
        </w:rPr>
        <w:t>Journal of Education Policy</w:t>
      </w:r>
      <w:r w:rsidRPr="00637B3C">
        <w:rPr>
          <w:rFonts w:ascii="Palatino Linotype" w:hAnsi="Palatino Linotype"/>
        </w:rPr>
        <w:t>, 1–24. </w:t>
      </w:r>
      <w:hyperlink r:id="rId17" w:tgtFrame="_blank" w:history="1">
        <w:r w:rsidRPr="00637B3C">
          <w:rPr>
            <w:rStyle w:val="Hyperlink"/>
            <w:rFonts w:ascii="Palatino Linotype" w:hAnsi="Palatino Linotype"/>
          </w:rPr>
          <w:t>https://doi.org/10.1080/02680939.2026.2646218</w:t>
        </w:r>
      </w:hyperlink>
    </w:p>
    <w:p w14:paraId="54F57177" w14:textId="77777777" w:rsidR="00637B3C" w:rsidRPr="00637B3C" w:rsidRDefault="00637B3C" w:rsidP="003C08D2">
      <w:pPr>
        <w:ind w:left="720" w:hanging="720"/>
        <w:jc w:val="both"/>
        <w:rPr>
          <w:rFonts w:ascii="Palatino Linotype" w:hAnsi="Palatino Linotype"/>
        </w:rPr>
      </w:pPr>
      <w:r w:rsidRPr="00637B3C">
        <w:rPr>
          <w:rFonts w:ascii="Palatino Linotype" w:hAnsi="Palatino Linotype"/>
        </w:rPr>
        <w:lastRenderedPageBreak/>
        <w:t>Crovato, D., &amp; Rosania, J. (2026). Artificial Intelligence and Energy Overconsumption: Data Center Electricity Demand, Cooling Burdens, and Regional Sustainability Constraints. </w:t>
      </w:r>
      <w:r w:rsidRPr="00637B3C">
        <w:rPr>
          <w:rFonts w:ascii="Palatino Linotype" w:hAnsi="Palatino Linotype"/>
          <w:i/>
          <w:iCs/>
        </w:rPr>
        <w:t>Energy and Power Engineering</w:t>
      </w:r>
      <w:r w:rsidRPr="00637B3C">
        <w:rPr>
          <w:rFonts w:ascii="Palatino Linotype" w:hAnsi="Palatino Linotype"/>
        </w:rPr>
        <w:t>, </w:t>
      </w:r>
      <w:r w:rsidRPr="00637B3C">
        <w:rPr>
          <w:rFonts w:ascii="Palatino Linotype" w:hAnsi="Palatino Linotype"/>
          <w:i/>
          <w:iCs/>
        </w:rPr>
        <w:t>18</w:t>
      </w:r>
      <w:r w:rsidRPr="00637B3C">
        <w:rPr>
          <w:rFonts w:ascii="Palatino Linotype" w:hAnsi="Palatino Linotype"/>
        </w:rPr>
        <w:t>(4), 168–202. </w:t>
      </w:r>
      <w:hyperlink r:id="rId18" w:tgtFrame="_blank" w:history="1">
        <w:r w:rsidRPr="00637B3C">
          <w:rPr>
            <w:rStyle w:val="Hyperlink"/>
            <w:rFonts w:ascii="Palatino Linotype" w:hAnsi="Palatino Linotype"/>
          </w:rPr>
          <w:t>https://doi.org/10.4236/epe.2026.184010</w:t>
        </w:r>
      </w:hyperlink>
    </w:p>
    <w:p w14:paraId="670ED192" w14:textId="77777777" w:rsidR="00637B3C" w:rsidRPr="00637B3C" w:rsidRDefault="00637B3C" w:rsidP="003C08D2">
      <w:pPr>
        <w:ind w:left="720" w:hanging="720"/>
        <w:jc w:val="both"/>
        <w:rPr>
          <w:rFonts w:ascii="Palatino Linotype" w:hAnsi="Palatino Linotype"/>
        </w:rPr>
      </w:pPr>
      <w:r w:rsidRPr="00637B3C">
        <w:rPr>
          <w:rFonts w:ascii="Palatino Linotype" w:hAnsi="Palatino Linotype"/>
        </w:rPr>
        <w:t>Cugurullo, F. (2026). The Eclipse of Reason in the Age of Artificial Intelligence: Why we are Failing to Cope with AI Development and Steer it Toward Sustainability. </w:t>
      </w:r>
      <w:r w:rsidRPr="00637B3C">
        <w:rPr>
          <w:rFonts w:ascii="Palatino Linotype" w:hAnsi="Palatino Linotype"/>
          <w:i/>
          <w:iCs/>
        </w:rPr>
        <w:t>Philosophy &amp; Technology</w:t>
      </w:r>
      <w:r w:rsidRPr="00637B3C">
        <w:rPr>
          <w:rFonts w:ascii="Palatino Linotype" w:hAnsi="Palatino Linotype"/>
        </w:rPr>
        <w:t>, </w:t>
      </w:r>
      <w:r w:rsidRPr="00637B3C">
        <w:rPr>
          <w:rFonts w:ascii="Palatino Linotype" w:hAnsi="Palatino Linotype"/>
          <w:i/>
          <w:iCs/>
        </w:rPr>
        <w:t>39</w:t>
      </w:r>
      <w:r w:rsidRPr="00637B3C">
        <w:rPr>
          <w:rFonts w:ascii="Palatino Linotype" w:hAnsi="Palatino Linotype"/>
        </w:rPr>
        <w:t>(2). </w:t>
      </w:r>
      <w:hyperlink r:id="rId19" w:tgtFrame="_blank" w:history="1">
        <w:r w:rsidRPr="00637B3C">
          <w:rPr>
            <w:rStyle w:val="Hyperlink"/>
            <w:rFonts w:ascii="Palatino Linotype" w:hAnsi="Palatino Linotype"/>
          </w:rPr>
          <w:t>https://doi.org/10.1007/s13347-026-01065-w</w:t>
        </w:r>
      </w:hyperlink>
    </w:p>
    <w:p w14:paraId="3E8ACB18" w14:textId="77777777" w:rsidR="00637B3C" w:rsidRPr="00637B3C" w:rsidRDefault="00637B3C" w:rsidP="003C08D2">
      <w:pPr>
        <w:ind w:left="720" w:hanging="720"/>
        <w:jc w:val="both"/>
        <w:rPr>
          <w:rFonts w:ascii="Palatino Linotype" w:hAnsi="Palatino Linotype"/>
        </w:rPr>
      </w:pPr>
      <w:r w:rsidRPr="00637B3C">
        <w:rPr>
          <w:rFonts w:ascii="Palatino Linotype" w:hAnsi="Palatino Linotype"/>
        </w:rPr>
        <w:t>Galle, A., &amp; Dort, H. V. (2025). From cybersecurity to cyber resilience in the board room: key steps for supervisory board members and non-executives. </w:t>
      </w:r>
      <w:r w:rsidRPr="00637B3C">
        <w:rPr>
          <w:rFonts w:ascii="Palatino Linotype" w:hAnsi="Palatino Linotype"/>
          <w:i/>
          <w:iCs/>
        </w:rPr>
        <w:t>International Cybersecurity Law Review</w:t>
      </w:r>
      <w:r w:rsidRPr="00637B3C">
        <w:rPr>
          <w:rFonts w:ascii="Palatino Linotype" w:hAnsi="Palatino Linotype"/>
        </w:rPr>
        <w:t>, </w:t>
      </w:r>
      <w:r w:rsidRPr="00637B3C">
        <w:rPr>
          <w:rFonts w:ascii="Palatino Linotype" w:hAnsi="Palatino Linotype"/>
          <w:i/>
          <w:iCs/>
        </w:rPr>
        <w:t>6</w:t>
      </w:r>
      <w:r w:rsidRPr="00637B3C">
        <w:rPr>
          <w:rFonts w:ascii="Palatino Linotype" w:hAnsi="Palatino Linotype"/>
        </w:rPr>
        <w:t>(3), 221–237. </w:t>
      </w:r>
      <w:hyperlink r:id="rId20" w:tgtFrame="_blank" w:history="1">
        <w:r w:rsidRPr="00637B3C">
          <w:rPr>
            <w:rStyle w:val="Hyperlink"/>
            <w:rFonts w:ascii="Palatino Linotype" w:hAnsi="Palatino Linotype"/>
          </w:rPr>
          <w:t>https://doi.org/10.1365/s43439-025-00151-7</w:t>
        </w:r>
      </w:hyperlink>
    </w:p>
    <w:p w14:paraId="6D9E37A0" w14:textId="77777777" w:rsidR="00637B3C" w:rsidRPr="00637B3C" w:rsidRDefault="00637B3C" w:rsidP="003C08D2">
      <w:pPr>
        <w:ind w:left="720" w:hanging="720"/>
        <w:jc w:val="both"/>
        <w:rPr>
          <w:rFonts w:ascii="Palatino Linotype" w:hAnsi="Palatino Linotype"/>
        </w:rPr>
      </w:pPr>
      <w:r w:rsidRPr="00637B3C">
        <w:rPr>
          <w:rFonts w:ascii="Palatino Linotype" w:hAnsi="Palatino Linotype"/>
        </w:rPr>
        <w:t>Garcia, E. V. (2025). Technology for Whom and for What? A Global South View of Tech Diplomacy. </w:t>
      </w:r>
      <w:r w:rsidRPr="00637B3C">
        <w:rPr>
          <w:rFonts w:ascii="Palatino Linotype" w:hAnsi="Palatino Linotype"/>
          <w:i/>
          <w:iCs/>
        </w:rPr>
        <w:t>Global Policy</w:t>
      </w:r>
      <w:r w:rsidRPr="00637B3C">
        <w:rPr>
          <w:rFonts w:ascii="Palatino Linotype" w:hAnsi="Palatino Linotype"/>
        </w:rPr>
        <w:t>. </w:t>
      </w:r>
      <w:hyperlink r:id="rId21" w:tgtFrame="_blank" w:history="1">
        <w:r w:rsidRPr="00637B3C">
          <w:rPr>
            <w:rStyle w:val="Hyperlink"/>
            <w:rFonts w:ascii="Palatino Linotype" w:hAnsi="Palatino Linotype"/>
          </w:rPr>
          <w:t>https://doi.org/10.1111/1758-5899.70024</w:t>
        </w:r>
      </w:hyperlink>
    </w:p>
    <w:p w14:paraId="69C8E225" w14:textId="77777777" w:rsidR="00637B3C" w:rsidRPr="00637B3C" w:rsidRDefault="00637B3C" w:rsidP="003C08D2">
      <w:pPr>
        <w:ind w:left="720" w:hanging="720"/>
        <w:jc w:val="both"/>
        <w:rPr>
          <w:rFonts w:ascii="Palatino Linotype" w:hAnsi="Palatino Linotype"/>
        </w:rPr>
      </w:pPr>
      <w:r w:rsidRPr="00637B3C">
        <w:rPr>
          <w:rFonts w:ascii="Palatino Linotype" w:hAnsi="Palatino Linotype"/>
        </w:rPr>
        <w:t>Gurol, J., Hernandez, A. M., Prys-Hansen, M., &amp; Marques, T. C. de A. (2026). Reimagining Global Governance: Strategic Pluralism, Normative Blending, and the Emergence of a Polycentric Order. </w:t>
      </w:r>
      <w:r w:rsidRPr="00637B3C">
        <w:rPr>
          <w:rFonts w:ascii="Palatino Linotype" w:hAnsi="Palatino Linotype"/>
          <w:i/>
          <w:iCs/>
        </w:rPr>
        <w:t>Global Studies Quarterly</w:t>
      </w:r>
      <w:r w:rsidRPr="00637B3C">
        <w:rPr>
          <w:rFonts w:ascii="Palatino Linotype" w:hAnsi="Palatino Linotype"/>
        </w:rPr>
        <w:t>, </w:t>
      </w:r>
      <w:r w:rsidRPr="00637B3C">
        <w:rPr>
          <w:rFonts w:ascii="Palatino Linotype" w:hAnsi="Palatino Linotype"/>
          <w:i/>
          <w:iCs/>
        </w:rPr>
        <w:t>6</w:t>
      </w:r>
      <w:r w:rsidRPr="00637B3C">
        <w:rPr>
          <w:rFonts w:ascii="Palatino Linotype" w:hAnsi="Palatino Linotype"/>
        </w:rPr>
        <w:t>(1). </w:t>
      </w:r>
      <w:hyperlink r:id="rId22" w:tgtFrame="_blank" w:history="1">
        <w:r w:rsidRPr="00637B3C">
          <w:rPr>
            <w:rStyle w:val="Hyperlink"/>
            <w:rFonts w:ascii="Palatino Linotype" w:hAnsi="Palatino Linotype"/>
          </w:rPr>
          <w:t>https://doi.org/10.1093/isagsq/ksag003</w:t>
        </w:r>
      </w:hyperlink>
    </w:p>
    <w:p w14:paraId="5A988A5E" w14:textId="77777777" w:rsidR="00637B3C" w:rsidRPr="00637B3C" w:rsidRDefault="00637B3C" w:rsidP="003C08D2">
      <w:pPr>
        <w:ind w:left="720" w:hanging="720"/>
        <w:jc w:val="both"/>
        <w:rPr>
          <w:rFonts w:ascii="Palatino Linotype" w:hAnsi="Palatino Linotype"/>
        </w:rPr>
      </w:pPr>
      <w:r w:rsidRPr="00637B3C">
        <w:rPr>
          <w:rFonts w:ascii="Palatino Linotype" w:hAnsi="Palatino Linotype"/>
        </w:rPr>
        <w:t xml:space="preserve">Han, P., </w:t>
      </w:r>
      <w:r w:rsidRPr="00637B3C">
        <w:rPr>
          <w:rFonts w:ascii="SimSun" w:eastAsia="SimSun" w:hAnsi="SimSun" w:cs="SimSun" w:hint="eastAsia"/>
        </w:rPr>
        <w:t>钱五一</w:t>
      </w:r>
      <w:r w:rsidRPr="00637B3C">
        <w:rPr>
          <w:rFonts w:ascii="Palatino Linotype" w:hAnsi="Palatino Linotype"/>
        </w:rPr>
        <w:t>, Liu, S., Wang, W. F., Zheng, X., &amp; Jing, S. (2026). A comparative topic modeling analysis of AI policies in healthcare: insights from China, the United States, and the European Union.</w:t>
      </w:r>
      <w:r w:rsidRPr="00637B3C">
        <w:rPr>
          <w:rFonts w:ascii="Palatino Linotype" w:hAnsi="Palatino Linotype" w:cs="Palatino Linotype"/>
        </w:rPr>
        <w:t> </w:t>
      </w:r>
      <w:r w:rsidRPr="00637B3C">
        <w:rPr>
          <w:rFonts w:ascii="Palatino Linotype" w:hAnsi="Palatino Linotype"/>
          <w:i/>
          <w:iCs/>
        </w:rPr>
        <w:t>Humanities and Social Sciences Communications</w:t>
      </w:r>
      <w:r w:rsidRPr="00637B3C">
        <w:rPr>
          <w:rFonts w:ascii="Palatino Linotype" w:hAnsi="Palatino Linotype"/>
        </w:rPr>
        <w:t>. </w:t>
      </w:r>
      <w:hyperlink r:id="rId23" w:tgtFrame="_blank" w:history="1">
        <w:r w:rsidRPr="00637B3C">
          <w:rPr>
            <w:rStyle w:val="Hyperlink"/>
            <w:rFonts w:ascii="Palatino Linotype" w:hAnsi="Palatino Linotype"/>
          </w:rPr>
          <w:t>https://doi.org/10.1057/s41599-026-07605-1</w:t>
        </w:r>
      </w:hyperlink>
    </w:p>
    <w:p w14:paraId="29012BB1" w14:textId="77777777" w:rsidR="00637B3C" w:rsidRPr="00637B3C" w:rsidRDefault="00637B3C" w:rsidP="003C08D2">
      <w:pPr>
        <w:ind w:left="720" w:hanging="720"/>
        <w:jc w:val="both"/>
        <w:rPr>
          <w:rFonts w:ascii="Palatino Linotype" w:hAnsi="Palatino Linotype"/>
        </w:rPr>
      </w:pPr>
      <w:r w:rsidRPr="00637B3C">
        <w:rPr>
          <w:rFonts w:ascii="Palatino Linotype" w:hAnsi="Palatino Linotype"/>
        </w:rPr>
        <w:t>Hasan, O. (2026). Jurisdictional Issues, Extra-Territorial Effect and Future of International Data Transfers. </w:t>
      </w:r>
      <w:r w:rsidRPr="00637B3C">
        <w:rPr>
          <w:rFonts w:ascii="Palatino Linotype" w:hAnsi="Palatino Linotype"/>
          <w:i/>
          <w:iCs/>
        </w:rPr>
        <w:t>Engineering Technology Trends</w:t>
      </w:r>
      <w:r w:rsidRPr="00637B3C">
        <w:rPr>
          <w:rFonts w:ascii="Palatino Linotype" w:hAnsi="Palatino Linotype"/>
        </w:rPr>
        <w:t>, </w:t>
      </w:r>
      <w:r w:rsidRPr="00637B3C">
        <w:rPr>
          <w:rFonts w:ascii="Palatino Linotype" w:hAnsi="Palatino Linotype"/>
          <w:i/>
          <w:iCs/>
        </w:rPr>
        <w:t>4</w:t>
      </w:r>
      <w:r w:rsidRPr="00637B3C">
        <w:rPr>
          <w:rFonts w:ascii="Palatino Linotype" w:hAnsi="Palatino Linotype"/>
        </w:rPr>
        <w:t>(1), 0. </w:t>
      </w:r>
      <w:hyperlink r:id="rId24" w:tgtFrame="_blank" w:history="1">
        <w:r w:rsidRPr="00637B3C">
          <w:rPr>
            <w:rStyle w:val="Hyperlink"/>
            <w:rFonts w:ascii="Palatino Linotype" w:hAnsi="Palatino Linotype"/>
          </w:rPr>
          <w:t>https://doi.org/10.37155/2972-483x-0401-1</w:t>
        </w:r>
      </w:hyperlink>
    </w:p>
    <w:p w14:paraId="2CF5DC3A" w14:textId="77777777" w:rsidR="00637B3C" w:rsidRPr="00637B3C" w:rsidRDefault="00637B3C" w:rsidP="003C08D2">
      <w:pPr>
        <w:ind w:left="720" w:hanging="720"/>
        <w:jc w:val="both"/>
        <w:rPr>
          <w:rFonts w:ascii="Palatino Linotype" w:hAnsi="Palatino Linotype"/>
        </w:rPr>
      </w:pPr>
      <w:r w:rsidRPr="00637B3C">
        <w:rPr>
          <w:rFonts w:ascii="Palatino Linotype" w:hAnsi="Palatino Linotype"/>
        </w:rPr>
        <w:t>Janowski, T., Estévez, E., Noveck, B., &amp; Ojo, A. (2026, January 1). Introduction to the Minitrack on International and Comparative Digital Government Studies. </w:t>
      </w:r>
      <w:r w:rsidRPr="00637B3C">
        <w:rPr>
          <w:rFonts w:ascii="Palatino Linotype" w:hAnsi="Palatino Linotype"/>
          <w:i/>
          <w:iCs/>
        </w:rPr>
        <w:t>Proceedings of the ... Annual Hawaii International Conference on System Sciences/Proceedings of the Annual Hawaii International Conference on System Sciences</w:t>
      </w:r>
      <w:r w:rsidRPr="00637B3C">
        <w:rPr>
          <w:rFonts w:ascii="Palatino Linotype" w:hAnsi="Palatino Linotype"/>
        </w:rPr>
        <w:t>. </w:t>
      </w:r>
      <w:hyperlink r:id="rId25" w:tgtFrame="_blank" w:history="1">
        <w:r w:rsidRPr="00637B3C">
          <w:rPr>
            <w:rStyle w:val="Hyperlink"/>
            <w:rFonts w:ascii="Palatino Linotype" w:hAnsi="Palatino Linotype"/>
          </w:rPr>
          <w:t>https://doi.org/10.24251/hicss.2026.288</w:t>
        </w:r>
      </w:hyperlink>
    </w:p>
    <w:p w14:paraId="6F0E5603" w14:textId="77777777" w:rsidR="00637B3C" w:rsidRPr="00637B3C" w:rsidRDefault="00637B3C" w:rsidP="003C08D2">
      <w:pPr>
        <w:ind w:left="720" w:hanging="720"/>
        <w:jc w:val="both"/>
        <w:rPr>
          <w:rFonts w:ascii="Palatino Linotype" w:hAnsi="Palatino Linotype"/>
        </w:rPr>
      </w:pPr>
      <w:r w:rsidRPr="00637B3C">
        <w:rPr>
          <w:rFonts w:ascii="Palatino Linotype" w:hAnsi="Palatino Linotype"/>
        </w:rPr>
        <w:t>Kriebitz, A., Hessami, A., Watson, N., Horzyk, A., &amp; Shaw, P. (2026). Artificial agency and the ethics-law divide in AI governance: a call for a paradigm shift in reconstructing artificial moral agency. </w:t>
      </w:r>
      <w:r w:rsidRPr="00637B3C">
        <w:rPr>
          <w:rFonts w:ascii="Palatino Linotype" w:hAnsi="Palatino Linotype"/>
          <w:i/>
          <w:iCs/>
        </w:rPr>
        <w:t>Law Ethics &amp; Technology</w:t>
      </w:r>
      <w:r w:rsidRPr="00637B3C">
        <w:rPr>
          <w:rFonts w:ascii="Palatino Linotype" w:hAnsi="Palatino Linotype"/>
        </w:rPr>
        <w:t>, 1–26. </w:t>
      </w:r>
      <w:hyperlink r:id="rId26" w:tgtFrame="_blank" w:history="1">
        <w:r w:rsidRPr="00637B3C">
          <w:rPr>
            <w:rStyle w:val="Hyperlink"/>
            <w:rFonts w:ascii="Palatino Linotype" w:hAnsi="Palatino Linotype"/>
          </w:rPr>
          <w:t>https://doi.org/10.55092/let20260007</w:t>
        </w:r>
      </w:hyperlink>
    </w:p>
    <w:p w14:paraId="1406B318" w14:textId="77777777" w:rsidR="00637B3C" w:rsidRPr="00637B3C" w:rsidRDefault="00637B3C" w:rsidP="003C08D2">
      <w:pPr>
        <w:ind w:left="720" w:hanging="720"/>
        <w:jc w:val="both"/>
        <w:rPr>
          <w:rFonts w:ascii="Palatino Linotype" w:hAnsi="Palatino Linotype"/>
        </w:rPr>
      </w:pPr>
      <w:r w:rsidRPr="00637B3C">
        <w:rPr>
          <w:rFonts w:ascii="Palatino Linotype" w:hAnsi="Palatino Linotype"/>
        </w:rPr>
        <w:t>Kulkarni, A., Wang, Y., Gopinath, M., Sobien, D., Rahman, A., &amp; Batarseh, F. A. (2025). A review of cybersecurity incidents in the food and agriculture sector. </w:t>
      </w:r>
      <w:r w:rsidRPr="00637B3C">
        <w:rPr>
          <w:rFonts w:ascii="Palatino Linotype" w:hAnsi="Palatino Linotype"/>
          <w:i/>
          <w:iCs/>
        </w:rPr>
        <w:t>Journal of Agriculture and Food Research</w:t>
      </w:r>
      <w:r w:rsidRPr="00637B3C">
        <w:rPr>
          <w:rFonts w:ascii="Palatino Linotype" w:hAnsi="Palatino Linotype"/>
        </w:rPr>
        <w:t>, </w:t>
      </w:r>
      <w:r w:rsidRPr="00637B3C">
        <w:rPr>
          <w:rFonts w:ascii="Palatino Linotype" w:hAnsi="Palatino Linotype"/>
          <w:i/>
          <w:iCs/>
        </w:rPr>
        <w:t>23</w:t>
      </w:r>
      <w:r w:rsidRPr="00637B3C">
        <w:rPr>
          <w:rFonts w:ascii="Palatino Linotype" w:hAnsi="Palatino Linotype"/>
        </w:rPr>
        <w:t>, 102245–102245. </w:t>
      </w:r>
      <w:hyperlink r:id="rId27" w:tgtFrame="_blank" w:history="1">
        <w:r w:rsidRPr="00637B3C">
          <w:rPr>
            <w:rStyle w:val="Hyperlink"/>
            <w:rFonts w:ascii="Palatino Linotype" w:hAnsi="Palatino Linotype"/>
          </w:rPr>
          <w:t>https://doi.org/10.1016/j.jafr.2025.102245</w:t>
        </w:r>
      </w:hyperlink>
    </w:p>
    <w:p w14:paraId="601158E3" w14:textId="77777777" w:rsidR="00637B3C" w:rsidRPr="00637B3C" w:rsidRDefault="00637B3C" w:rsidP="003C08D2">
      <w:pPr>
        <w:ind w:left="720" w:hanging="720"/>
        <w:jc w:val="both"/>
        <w:rPr>
          <w:rFonts w:ascii="Palatino Linotype" w:hAnsi="Palatino Linotype"/>
        </w:rPr>
      </w:pPr>
      <w:r w:rsidRPr="00637B3C">
        <w:rPr>
          <w:rFonts w:ascii="Palatino Linotype" w:hAnsi="Palatino Linotype"/>
        </w:rPr>
        <w:lastRenderedPageBreak/>
        <w:t>Li, J. (2025). Governing High-Risk Technologies in a Fragmented World: Geopolitical Tensions, Regulatory Gaps, and Institutional Barriers to Global Cooperation. </w:t>
      </w:r>
      <w:r w:rsidRPr="00637B3C">
        <w:rPr>
          <w:rFonts w:ascii="Palatino Linotype" w:hAnsi="Palatino Linotype"/>
          <w:i/>
          <w:iCs/>
        </w:rPr>
        <w:t>Fudan Journal of the Humanities and Social Sciences</w:t>
      </w:r>
      <w:r w:rsidRPr="00637B3C">
        <w:rPr>
          <w:rFonts w:ascii="Palatino Linotype" w:hAnsi="Palatino Linotype"/>
        </w:rPr>
        <w:t>, </w:t>
      </w:r>
      <w:r w:rsidRPr="00637B3C">
        <w:rPr>
          <w:rFonts w:ascii="Palatino Linotype" w:hAnsi="Palatino Linotype"/>
          <w:i/>
          <w:iCs/>
        </w:rPr>
        <w:t>19</w:t>
      </w:r>
      <w:r w:rsidRPr="00637B3C">
        <w:rPr>
          <w:rFonts w:ascii="Palatino Linotype" w:hAnsi="Palatino Linotype"/>
        </w:rPr>
        <w:t>(1), 113–137. </w:t>
      </w:r>
      <w:hyperlink r:id="rId28" w:tgtFrame="_blank" w:history="1">
        <w:r w:rsidRPr="00637B3C">
          <w:rPr>
            <w:rStyle w:val="Hyperlink"/>
            <w:rFonts w:ascii="Palatino Linotype" w:hAnsi="Palatino Linotype"/>
          </w:rPr>
          <w:t>https://doi.org/10.1007/s40647-025-00445-4</w:t>
        </w:r>
      </w:hyperlink>
    </w:p>
    <w:p w14:paraId="148BED03" w14:textId="77777777" w:rsidR="00637B3C" w:rsidRPr="00637B3C" w:rsidRDefault="00637B3C" w:rsidP="003C08D2">
      <w:pPr>
        <w:ind w:left="720" w:hanging="720"/>
        <w:jc w:val="both"/>
        <w:rPr>
          <w:rFonts w:ascii="Palatino Linotype" w:hAnsi="Palatino Linotype"/>
        </w:rPr>
      </w:pPr>
      <w:r w:rsidRPr="00637B3C">
        <w:rPr>
          <w:rFonts w:ascii="Palatino Linotype" w:hAnsi="Palatino Linotype"/>
        </w:rPr>
        <w:t>Mahmud, I. (2026). Mandatory Institutional Architecture for Public-Sector AI Accountability: A Cross-Jurisdictional Framework Grounded in Administrative Law Version 2.0. In </w:t>
      </w:r>
      <w:r w:rsidRPr="00637B3C">
        <w:rPr>
          <w:rFonts w:ascii="Palatino Linotype" w:hAnsi="Palatino Linotype"/>
          <w:i/>
          <w:iCs/>
        </w:rPr>
        <w:t>Zenodo (CERN European Organization for Nuclear Research)</w:t>
      </w:r>
      <w:r w:rsidRPr="00637B3C">
        <w:rPr>
          <w:rFonts w:ascii="Palatino Linotype" w:hAnsi="Palatino Linotype"/>
        </w:rPr>
        <w:t>. European Organization for Nuclear Research. </w:t>
      </w:r>
      <w:hyperlink r:id="rId29" w:tgtFrame="_blank" w:history="1">
        <w:r w:rsidRPr="00637B3C">
          <w:rPr>
            <w:rStyle w:val="Hyperlink"/>
            <w:rFonts w:ascii="Palatino Linotype" w:hAnsi="Palatino Linotype"/>
          </w:rPr>
          <w:t>https://doi.org/10.5281/zenodo.18776634</w:t>
        </w:r>
      </w:hyperlink>
    </w:p>
    <w:p w14:paraId="571038D2" w14:textId="77777777" w:rsidR="00637B3C" w:rsidRPr="00637B3C" w:rsidRDefault="00637B3C" w:rsidP="003C08D2">
      <w:pPr>
        <w:ind w:left="720" w:hanging="720"/>
        <w:jc w:val="both"/>
        <w:rPr>
          <w:rFonts w:ascii="Palatino Linotype" w:hAnsi="Palatino Linotype"/>
        </w:rPr>
      </w:pPr>
      <w:r w:rsidRPr="00637B3C">
        <w:rPr>
          <w:rFonts w:ascii="Palatino Linotype" w:hAnsi="Palatino Linotype"/>
        </w:rPr>
        <w:t>Mansour, M., Albawwat, A. H., Marei, A., &amp; Abozeid, H. O. T. A. (2026). Cybersecurity disclosure and digital maturity as strategic drivers of banking performance: Evidence from Europe. </w:t>
      </w:r>
      <w:r w:rsidRPr="00637B3C">
        <w:rPr>
          <w:rFonts w:ascii="Palatino Linotype" w:hAnsi="Palatino Linotype"/>
          <w:i/>
          <w:iCs/>
        </w:rPr>
        <w:t>International Journal of Information Management Data Insights</w:t>
      </w:r>
      <w:r w:rsidRPr="00637B3C">
        <w:rPr>
          <w:rFonts w:ascii="Palatino Linotype" w:hAnsi="Palatino Linotype"/>
        </w:rPr>
        <w:t>, </w:t>
      </w:r>
      <w:r w:rsidRPr="00637B3C">
        <w:rPr>
          <w:rFonts w:ascii="Palatino Linotype" w:hAnsi="Palatino Linotype"/>
          <w:i/>
          <w:iCs/>
        </w:rPr>
        <w:t>6</w:t>
      </w:r>
      <w:r w:rsidRPr="00637B3C">
        <w:rPr>
          <w:rFonts w:ascii="Palatino Linotype" w:hAnsi="Palatino Linotype"/>
        </w:rPr>
        <w:t>(1), 100403–100403. </w:t>
      </w:r>
      <w:hyperlink r:id="rId30" w:tgtFrame="_blank" w:history="1">
        <w:r w:rsidRPr="00637B3C">
          <w:rPr>
            <w:rStyle w:val="Hyperlink"/>
            <w:rFonts w:ascii="Palatino Linotype" w:hAnsi="Palatino Linotype"/>
          </w:rPr>
          <w:t>https://doi.org/10.1016/j.jjimei.2026.100403</w:t>
        </w:r>
      </w:hyperlink>
    </w:p>
    <w:p w14:paraId="2460BAFD" w14:textId="77777777" w:rsidR="00637B3C" w:rsidRPr="00637B3C" w:rsidRDefault="00637B3C" w:rsidP="003C08D2">
      <w:pPr>
        <w:ind w:left="720" w:hanging="720"/>
        <w:jc w:val="both"/>
        <w:rPr>
          <w:rFonts w:ascii="Palatino Linotype" w:hAnsi="Palatino Linotype"/>
        </w:rPr>
      </w:pPr>
      <w:r w:rsidRPr="00637B3C">
        <w:rPr>
          <w:rFonts w:ascii="Palatino Linotype" w:hAnsi="Palatino Linotype"/>
        </w:rPr>
        <w:t>Md, H. (2025). Cybersecurity and International Law: The Challenge of Sovereignty in Cyberspace. </w:t>
      </w:r>
      <w:r w:rsidRPr="00637B3C">
        <w:rPr>
          <w:rFonts w:ascii="Palatino Linotype" w:hAnsi="Palatino Linotype"/>
          <w:i/>
          <w:iCs/>
        </w:rPr>
        <w:t>RESEARCH HUB International Multidisciplinary Research Journal</w:t>
      </w:r>
      <w:r w:rsidRPr="00637B3C">
        <w:rPr>
          <w:rFonts w:ascii="Palatino Linotype" w:hAnsi="Palatino Linotype"/>
        </w:rPr>
        <w:t>, </w:t>
      </w:r>
      <w:r w:rsidRPr="00637B3C">
        <w:rPr>
          <w:rFonts w:ascii="Palatino Linotype" w:hAnsi="Palatino Linotype"/>
          <w:i/>
          <w:iCs/>
        </w:rPr>
        <w:t>12</w:t>
      </w:r>
      <w:r w:rsidRPr="00637B3C">
        <w:rPr>
          <w:rFonts w:ascii="Palatino Linotype" w:hAnsi="Palatino Linotype"/>
        </w:rPr>
        <w:t>(9), 85–91. </w:t>
      </w:r>
      <w:hyperlink r:id="rId31" w:tgtFrame="_blank" w:history="1">
        <w:r w:rsidRPr="00637B3C">
          <w:rPr>
            <w:rStyle w:val="Hyperlink"/>
            <w:rFonts w:ascii="Palatino Linotype" w:hAnsi="Palatino Linotype"/>
          </w:rPr>
          <w:t>https://doi.org/10.53573/rhimrj.2025.v12n9.012</w:t>
        </w:r>
      </w:hyperlink>
    </w:p>
    <w:p w14:paraId="2DF24890" w14:textId="77777777" w:rsidR="00637B3C" w:rsidRPr="00637B3C" w:rsidRDefault="00637B3C" w:rsidP="003C08D2">
      <w:pPr>
        <w:ind w:left="720" w:hanging="720"/>
        <w:jc w:val="both"/>
        <w:rPr>
          <w:rFonts w:ascii="Palatino Linotype" w:hAnsi="Palatino Linotype"/>
        </w:rPr>
      </w:pPr>
      <w:r w:rsidRPr="00637B3C">
        <w:rPr>
          <w:rFonts w:ascii="Palatino Linotype" w:hAnsi="Palatino Linotype"/>
        </w:rPr>
        <w:t>Moreno‐Lax, V. (2024). Meta-Borders and the Rule of Law: From Externalisation to ‘Responsibilisation’ in Systems of Contactless Control. </w:t>
      </w:r>
      <w:r w:rsidRPr="00637B3C">
        <w:rPr>
          <w:rFonts w:ascii="Palatino Linotype" w:hAnsi="Palatino Linotype"/>
          <w:i/>
          <w:iCs/>
        </w:rPr>
        <w:t>Netherlands International Law Review</w:t>
      </w:r>
      <w:r w:rsidRPr="00637B3C">
        <w:rPr>
          <w:rFonts w:ascii="Palatino Linotype" w:hAnsi="Palatino Linotype"/>
        </w:rPr>
        <w:t>, </w:t>
      </w:r>
      <w:r w:rsidRPr="00637B3C">
        <w:rPr>
          <w:rFonts w:ascii="Palatino Linotype" w:hAnsi="Palatino Linotype"/>
          <w:i/>
          <w:iCs/>
        </w:rPr>
        <w:t>71</w:t>
      </w:r>
      <w:r w:rsidRPr="00637B3C">
        <w:rPr>
          <w:rFonts w:ascii="Palatino Linotype" w:hAnsi="Palatino Linotype"/>
        </w:rPr>
        <w:t>(1), 21–57. </w:t>
      </w:r>
      <w:hyperlink r:id="rId32" w:tgtFrame="_blank" w:history="1">
        <w:r w:rsidRPr="00637B3C">
          <w:rPr>
            <w:rStyle w:val="Hyperlink"/>
            <w:rFonts w:ascii="Palatino Linotype" w:hAnsi="Palatino Linotype"/>
          </w:rPr>
          <w:t>https://doi.org/10.1007/s40802-024-00257-5</w:t>
        </w:r>
      </w:hyperlink>
    </w:p>
    <w:p w14:paraId="42D68F2F" w14:textId="77777777" w:rsidR="00637B3C" w:rsidRPr="00637B3C" w:rsidRDefault="00637B3C" w:rsidP="003C08D2">
      <w:pPr>
        <w:ind w:left="720" w:hanging="720"/>
        <w:jc w:val="both"/>
        <w:rPr>
          <w:rFonts w:ascii="Palatino Linotype" w:hAnsi="Palatino Linotype"/>
        </w:rPr>
      </w:pPr>
      <w:r w:rsidRPr="00637B3C">
        <w:rPr>
          <w:rFonts w:ascii="Palatino Linotype" w:hAnsi="Palatino Linotype"/>
        </w:rPr>
        <w:t>Moynihan, H. (2026). </w:t>
      </w:r>
      <w:r w:rsidRPr="00637B3C">
        <w:rPr>
          <w:rFonts w:ascii="Palatino Linotype" w:hAnsi="Palatino Linotype"/>
          <w:i/>
          <w:iCs/>
        </w:rPr>
        <w:t>International frameworks for AI governance</w:t>
      </w:r>
      <w:r w:rsidRPr="00637B3C">
        <w:rPr>
          <w:rFonts w:ascii="Palatino Linotype" w:hAnsi="Palatino Linotype"/>
        </w:rPr>
        <w:t>. </w:t>
      </w:r>
      <w:hyperlink r:id="rId33" w:tgtFrame="_blank" w:history="1">
        <w:r w:rsidRPr="00637B3C">
          <w:rPr>
            <w:rStyle w:val="Hyperlink"/>
            <w:rFonts w:ascii="Palatino Linotype" w:hAnsi="Palatino Linotype"/>
          </w:rPr>
          <w:t>https://doi.org/10.1093/9780198972877.003.0039</w:t>
        </w:r>
      </w:hyperlink>
    </w:p>
    <w:p w14:paraId="3C3FD3DE" w14:textId="77777777" w:rsidR="00637B3C" w:rsidRPr="00637B3C" w:rsidRDefault="00637B3C" w:rsidP="003C08D2">
      <w:pPr>
        <w:ind w:left="720" w:hanging="720"/>
        <w:jc w:val="both"/>
        <w:rPr>
          <w:rFonts w:ascii="Palatino Linotype" w:hAnsi="Palatino Linotype"/>
        </w:rPr>
      </w:pPr>
      <w:r w:rsidRPr="00637B3C">
        <w:rPr>
          <w:rFonts w:ascii="Palatino Linotype" w:hAnsi="Palatino Linotype"/>
        </w:rPr>
        <w:t xml:space="preserve">Nurgozhayeva, R. (2024). The Belt and Road Initiative and Sustainability: </w:t>
      </w:r>
      <w:proofErr w:type="gramStart"/>
      <w:r w:rsidRPr="00637B3C">
        <w:rPr>
          <w:rFonts w:ascii="Palatino Linotype" w:hAnsi="Palatino Linotype"/>
        </w:rPr>
        <w:t>a</w:t>
      </w:r>
      <w:proofErr w:type="gramEnd"/>
      <w:r w:rsidRPr="00637B3C">
        <w:rPr>
          <w:rFonts w:ascii="Palatino Linotype" w:hAnsi="Palatino Linotype"/>
        </w:rPr>
        <w:t xml:space="preserve"> Driving Force for Change or a Missed Opportunity? </w:t>
      </w:r>
      <w:r w:rsidRPr="00637B3C">
        <w:rPr>
          <w:rFonts w:ascii="Palatino Linotype" w:hAnsi="Palatino Linotype"/>
          <w:i/>
          <w:iCs/>
        </w:rPr>
        <w:t>Chinese Journal of Environmental Law</w:t>
      </w:r>
      <w:r w:rsidRPr="00637B3C">
        <w:rPr>
          <w:rFonts w:ascii="Palatino Linotype" w:hAnsi="Palatino Linotype"/>
        </w:rPr>
        <w:t>, </w:t>
      </w:r>
      <w:r w:rsidRPr="00637B3C">
        <w:rPr>
          <w:rFonts w:ascii="Palatino Linotype" w:hAnsi="Palatino Linotype"/>
          <w:i/>
          <w:iCs/>
        </w:rPr>
        <w:t>8</w:t>
      </w:r>
      <w:r w:rsidRPr="00637B3C">
        <w:rPr>
          <w:rFonts w:ascii="Palatino Linotype" w:hAnsi="Palatino Linotype"/>
        </w:rPr>
        <w:t>(2), 119–166. </w:t>
      </w:r>
      <w:hyperlink r:id="rId34" w:tgtFrame="_blank" w:history="1">
        <w:r w:rsidRPr="00637B3C">
          <w:rPr>
            <w:rStyle w:val="Hyperlink"/>
            <w:rFonts w:ascii="Palatino Linotype" w:hAnsi="Palatino Linotype"/>
          </w:rPr>
          <w:t>https://doi.org/10.1163/24686042-12340120</w:t>
        </w:r>
      </w:hyperlink>
    </w:p>
    <w:p w14:paraId="77AFC4A9" w14:textId="77777777" w:rsidR="00637B3C" w:rsidRPr="00637B3C" w:rsidRDefault="00637B3C" w:rsidP="003C08D2">
      <w:pPr>
        <w:ind w:left="720" w:hanging="720"/>
        <w:jc w:val="both"/>
        <w:rPr>
          <w:rFonts w:ascii="Palatino Linotype" w:hAnsi="Palatino Linotype"/>
        </w:rPr>
      </w:pPr>
      <w:r w:rsidRPr="00637B3C">
        <w:rPr>
          <w:rFonts w:ascii="Palatino Linotype" w:hAnsi="Palatino Linotype"/>
        </w:rPr>
        <w:t>Olawale, I. C. M., Ngozi Blessing Umoru, Sandra A. Palmer, Kemi K. Oladapo and Rukayat Abisola. (2026a). Digital Sovereignty in the Age of AI and Sustainable Transformation: A Multi-Layered Governance Framework. </w:t>
      </w:r>
      <w:r w:rsidRPr="00637B3C">
        <w:rPr>
          <w:rFonts w:ascii="Palatino Linotype" w:hAnsi="Palatino Linotype"/>
          <w:i/>
          <w:iCs/>
        </w:rPr>
        <w:t>Zenodo (CERN European Organization for Nuclear Research)</w:t>
      </w:r>
      <w:r w:rsidRPr="00637B3C">
        <w:rPr>
          <w:rFonts w:ascii="Palatino Linotype" w:hAnsi="Palatino Linotype"/>
        </w:rPr>
        <w:t>. </w:t>
      </w:r>
      <w:hyperlink r:id="rId35" w:tgtFrame="_blank" w:history="1">
        <w:r w:rsidRPr="00637B3C">
          <w:rPr>
            <w:rStyle w:val="Hyperlink"/>
            <w:rFonts w:ascii="Palatino Linotype" w:hAnsi="Palatino Linotype"/>
          </w:rPr>
          <w:t>https://doi.org/10.5281/zenodo.18748275</w:t>
        </w:r>
      </w:hyperlink>
    </w:p>
    <w:p w14:paraId="2D187F82" w14:textId="77777777" w:rsidR="00637B3C" w:rsidRPr="00637B3C" w:rsidRDefault="00637B3C" w:rsidP="003C08D2">
      <w:pPr>
        <w:ind w:left="720" w:hanging="720"/>
        <w:jc w:val="both"/>
        <w:rPr>
          <w:rFonts w:ascii="Palatino Linotype" w:hAnsi="Palatino Linotype"/>
        </w:rPr>
      </w:pPr>
      <w:r w:rsidRPr="00637B3C">
        <w:rPr>
          <w:rFonts w:ascii="Palatino Linotype" w:hAnsi="Palatino Linotype"/>
        </w:rPr>
        <w:t>Olawale, I. C. M., Ngozi Blessing Umoru, Sandra A. Palmer, Kemi K. Oladapo and Rukayat Abisola. (2026b). Layered Sovereignty and Digital Governance: Comparative Models of Infrastructure, Regulation, and AI-Mediated Control in the Global Data Economy. </w:t>
      </w:r>
      <w:r w:rsidRPr="00637B3C">
        <w:rPr>
          <w:rFonts w:ascii="Palatino Linotype" w:hAnsi="Palatino Linotype"/>
          <w:i/>
          <w:iCs/>
        </w:rPr>
        <w:t>Zenodo (CERN European Organization for Nuclear Research)</w:t>
      </w:r>
      <w:r w:rsidRPr="00637B3C">
        <w:rPr>
          <w:rFonts w:ascii="Palatino Linotype" w:hAnsi="Palatino Linotype"/>
        </w:rPr>
        <w:t>. </w:t>
      </w:r>
      <w:hyperlink r:id="rId36" w:tgtFrame="_blank" w:history="1">
        <w:r w:rsidRPr="00637B3C">
          <w:rPr>
            <w:rStyle w:val="Hyperlink"/>
            <w:rFonts w:ascii="Palatino Linotype" w:hAnsi="Palatino Linotype"/>
          </w:rPr>
          <w:t>https://doi.org/10.5281/zenodo.18748987</w:t>
        </w:r>
      </w:hyperlink>
    </w:p>
    <w:p w14:paraId="1FE0584C" w14:textId="77777777" w:rsidR="00637B3C" w:rsidRPr="00637B3C" w:rsidRDefault="00637B3C" w:rsidP="003C08D2">
      <w:pPr>
        <w:ind w:left="720" w:hanging="720"/>
        <w:jc w:val="both"/>
        <w:rPr>
          <w:rFonts w:ascii="Palatino Linotype" w:hAnsi="Palatino Linotype"/>
        </w:rPr>
      </w:pPr>
      <w:r w:rsidRPr="00637B3C">
        <w:rPr>
          <w:rFonts w:ascii="Palatino Linotype" w:hAnsi="Palatino Linotype"/>
        </w:rPr>
        <w:t>Proudfoot, J. G., Cram, W. A., &amp; Madnick, S. (2024). Weathering the storm: examining how organisations navigate the sea of cybersecurity regulations. </w:t>
      </w:r>
      <w:r w:rsidRPr="00637B3C">
        <w:rPr>
          <w:rFonts w:ascii="Palatino Linotype" w:hAnsi="Palatino Linotype"/>
          <w:i/>
          <w:iCs/>
        </w:rPr>
        <w:t>European Journal of Information Systems</w:t>
      </w:r>
      <w:r w:rsidRPr="00637B3C">
        <w:rPr>
          <w:rFonts w:ascii="Palatino Linotype" w:hAnsi="Palatino Linotype"/>
        </w:rPr>
        <w:t>, </w:t>
      </w:r>
      <w:r w:rsidRPr="00637B3C">
        <w:rPr>
          <w:rFonts w:ascii="Palatino Linotype" w:hAnsi="Palatino Linotype"/>
          <w:i/>
          <w:iCs/>
        </w:rPr>
        <w:t>34</w:t>
      </w:r>
      <w:r w:rsidRPr="00637B3C">
        <w:rPr>
          <w:rFonts w:ascii="Palatino Linotype" w:hAnsi="Palatino Linotype"/>
        </w:rPr>
        <w:t>(3), 436–459. </w:t>
      </w:r>
      <w:hyperlink r:id="rId37" w:tgtFrame="_blank" w:history="1">
        <w:r w:rsidRPr="00637B3C">
          <w:rPr>
            <w:rStyle w:val="Hyperlink"/>
            <w:rFonts w:ascii="Palatino Linotype" w:hAnsi="Palatino Linotype"/>
          </w:rPr>
          <w:t>https://doi.org/10.1080/0960085x.2024.2345867</w:t>
        </w:r>
      </w:hyperlink>
    </w:p>
    <w:p w14:paraId="7CA82CAE" w14:textId="77777777" w:rsidR="00637B3C" w:rsidRPr="00637B3C" w:rsidRDefault="00637B3C" w:rsidP="003C08D2">
      <w:pPr>
        <w:ind w:left="720" w:hanging="720"/>
        <w:jc w:val="both"/>
        <w:rPr>
          <w:rFonts w:ascii="Palatino Linotype" w:hAnsi="Palatino Linotype"/>
        </w:rPr>
      </w:pPr>
      <w:r w:rsidRPr="00637B3C">
        <w:rPr>
          <w:rFonts w:ascii="Palatino Linotype" w:hAnsi="Palatino Linotype"/>
        </w:rPr>
        <w:lastRenderedPageBreak/>
        <w:t>Rabbani, M. R., Kiran, M., Supriani, I., &amp; Widiyanti, D. R. (2026). Bridging ESG and FinTech: The role of green innovation, board expertise, and governance in global banks. </w:t>
      </w:r>
      <w:r w:rsidRPr="00637B3C">
        <w:rPr>
          <w:rFonts w:ascii="Palatino Linotype" w:hAnsi="Palatino Linotype"/>
          <w:i/>
          <w:iCs/>
        </w:rPr>
        <w:t>Green Technologies and Sustainability</w:t>
      </w:r>
      <w:r w:rsidRPr="00637B3C">
        <w:rPr>
          <w:rFonts w:ascii="Palatino Linotype" w:hAnsi="Palatino Linotype"/>
        </w:rPr>
        <w:t>, </w:t>
      </w:r>
      <w:r w:rsidRPr="00637B3C">
        <w:rPr>
          <w:rFonts w:ascii="Palatino Linotype" w:hAnsi="Palatino Linotype"/>
          <w:i/>
          <w:iCs/>
        </w:rPr>
        <w:t>4</w:t>
      </w:r>
      <w:r w:rsidRPr="00637B3C">
        <w:rPr>
          <w:rFonts w:ascii="Palatino Linotype" w:hAnsi="Palatino Linotype"/>
        </w:rPr>
        <w:t>(2), 100355–100355. </w:t>
      </w:r>
      <w:hyperlink r:id="rId38" w:tgtFrame="_blank" w:history="1">
        <w:r w:rsidRPr="00637B3C">
          <w:rPr>
            <w:rStyle w:val="Hyperlink"/>
            <w:rFonts w:ascii="Palatino Linotype" w:hAnsi="Palatino Linotype"/>
          </w:rPr>
          <w:t>https://doi.org/10.1016/j.grets.2026.100355</w:t>
        </w:r>
      </w:hyperlink>
    </w:p>
    <w:p w14:paraId="5AC6FD94" w14:textId="77777777" w:rsidR="00637B3C" w:rsidRPr="00637B3C" w:rsidRDefault="00637B3C" w:rsidP="003C08D2">
      <w:pPr>
        <w:ind w:left="720" w:hanging="720"/>
        <w:jc w:val="both"/>
        <w:rPr>
          <w:rFonts w:ascii="Palatino Linotype" w:hAnsi="Palatino Linotype"/>
        </w:rPr>
      </w:pPr>
      <w:r w:rsidRPr="00637B3C">
        <w:rPr>
          <w:rFonts w:ascii="Palatino Linotype" w:hAnsi="Palatino Linotype"/>
        </w:rPr>
        <w:t>Said, Y., Khaddar, A. M., Hassine, L., Eddaoui, A., &amp; Chafiq, T. (2025). The impact of blockchain on the banking sector: A systematic review of applications, challenges, and future directions. </w:t>
      </w:r>
      <w:r w:rsidRPr="00637B3C">
        <w:rPr>
          <w:rFonts w:ascii="Palatino Linotype" w:hAnsi="Palatino Linotype"/>
          <w:i/>
          <w:iCs/>
        </w:rPr>
        <w:t>Asia and the Global Economy</w:t>
      </w:r>
      <w:r w:rsidRPr="00637B3C">
        <w:rPr>
          <w:rFonts w:ascii="Palatino Linotype" w:hAnsi="Palatino Linotype"/>
        </w:rPr>
        <w:t>, </w:t>
      </w:r>
      <w:r w:rsidRPr="00637B3C">
        <w:rPr>
          <w:rFonts w:ascii="Palatino Linotype" w:hAnsi="Palatino Linotype"/>
          <w:i/>
          <w:iCs/>
        </w:rPr>
        <w:t>6</w:t>
      </w:r>
      <w:r w:rsidRPr="00637B3C">
        <w:rPr>
          <w:rFonts w:ascii="Palatino Linotype" w:hAnsi="Palatino Linotype"/>
        </w:rPr>
        <w:t>(1), 100133–100133. </w:t>
      </w:r>
      <w:hyperlink r:id="rId39" w:tgtFrame="_blank" w:history="1">
        <w:r w:rsidRPr="00637B3C">
          <w:rPr>
            <w:rStyle w:val="Hyperlink"/>
            <w:rFonts w:ascii="Palatino Linotype" w:hAnsi="Palatino Linotype"/>
          </w:rPr>
          <w:t>https://doi.org/10.1016/j.aglobe.2025.100133</w:t>
        </w:r>
      </w:hyperlink>
    </w:p>
    <w:p w14:paraId="1EFB0609" w14:textId="77777777" w:rsidR="00637B3C" w:rsidRPr="00637B3C" w:rsidRDefault="00637B3C" w:rsidP="003C08D2">
      <w:pPr>
        <w:ind w:left="720" w:hanging="720"/>
        <w:jc w:val="both"/>
        <w:rPr>
          <w:rFonts w:ascii="Palatino Linotype" w:hAnsi="Palatino Linotype"/>
        </w:rPr>
      </w:pPr>
      <w:r w:rsidRPr="00637B3C">
        <w:rPr>
          <w:rFonts w:ascii="Palatino Linotype" w:hAnsi="Palatino Linotype"/>
        </w:rPr>
        <w:t>Saliternik, M., &amp; Agon, S. S. (2026). International law and time between three paradigms. </w:t>
      </w:r>
      <w:r w:rsidRPr="00637B3C">
        <w:rPr>
          <w:rFonts w:ascii="Palatino Linotype" w:hAnsi="Palatino Linotype"/>
          <w:i/>
          <w:iCs/>
        </w:rPr>
        <w:t>Leiden Journal of International Law</w:t>
      </w:r>
      <w:r w:rsidRPr="00637B3C">
        <w:rPr>
          <w:rFonts w:ascii="Palatino Linotype" w:hAnsi="Palatino Linotype"/>
        </w:rPr>
        <w:t>, </w:t>
      </w:r>
      <w:r w:rsidRPr="00637B3C">
        <w:rPr>
          <w:rFonts w:ascii="Palatino Linotype" w:hAnsi="Palatino Linotype"/>
          <w:i/>
          <w:iCs/>
        </w:rPr>
        <w:t>39</w:t>
      </w:r>
      <w:r w:rsidRPr="00637B3C">
        <w:rPr>
          <w:rFonts w:ascii="Palatino Linotype" w:hAnsi="Palatino Linotype"/>
        </w:rPr>
        <w:t>(2), 355–379. </w:t>
      </w:r>
      <w:hyperlink r:id="rId40" w:tgtFrame="_blank" w:history="1">
        <w:r w:rsidRPr="00637B3C">
          <w:rPr>
            <w:rStyle w:val="Hyperlink"/>
            <w:rFonts w:ascii="Palatino Linotype" w:hAnsi="Palatino Linotype"/>
          </w:rPr>
          <w:t>https://doi.org/10.1017/s0922156526100715</w:t>
        </w:r>
      </w:hyperlink>
    </w:p>
    <w:p w14:paraId="1F2356FF" w14:textId="77777777" w:rsidR="00637B3C" w:rsidRPr="00637B3C" w:rsidRDefault="00637B3C" w:rsidP="003C08D2">
      <w:pPr>
        <w:ind w:left="720" w:hanging="720"/>
        <w:jc w:val="both"/>
        <w:rPr>
          <w:rFonts w:ascii="Palatino Linotype" w:hAnsi="Palatino Linotype"/>
        </w:rPr>
      </w:pPr>
      <w:r w:rsidRPr="00637B3C">
        <w:rPr>
          <w:rFonts w:ascii="Palatino Linotype" w:hAnsi="Palatino Linotype"/>
        </w:rPr>
        <w:t>Shahzad, S. K., Aziz, B., &amp; Mehdi, T. (2025). The Role of Artificial Intelligence in Shaping International Law and Foreign Policy: A Qualitative Study on State Behavior and Global Norms. </w:t>
      </w:r>
      <w:r w:rsidRPr="00637B3C">
        <w:rPr>
          <w:rFonts w:ascii="Palatino Linotype" w:hAnsi="Palatino Linotype"/>
          <w:i/>
          <w:iCs/>
        </w:rPr>
        <w:t>ACADEMIA International Journal for Social Sciences</w:t>
      </w:r>
      <w:r w:rsidRPr="00637B3C">
        <w:rPr>
          <w:rFonts w:ascii="Palatino Linotype" w:hAnsi="Palatino Linotype"/>
        </w:rPr>
        <w:t>, </w:t>
      </w:r>
      <w:r w:rsidRPr="00637B3C">
        <w:rPr>
          <w:rFonts w:ascii="Palatino Linotype" w:hAnsi="Palatino Linotype"/>
          <w:i/>
          <w:iCs/>
        </w:rPr>
        <w:t>4</w:t>
      </w:r>
      <w:r w:rsidRPr="00637B3C">
        <w:rPr>
          <w:rFonts w:ascii="Palatino Linotype" w:hAnsi="Palatino Linotype"/>
        </w:rPr>
        <w:t>(4), 3009–3020. </w:t>
      </w:r>
      <w:hyperlink r:id="rId41" w:tgtFrame="_blank" w:history="1">
        <w:r w:rsidRPr="00637B3C">
          <w:rPr>
            <w:rStyle w:val="Hyperlink"/>
            <w:rFonts w:ascii="Palatino Linotype" w:hAnsi="Palatino Linotype"/>
          </w:rPr>
          <w:t>https://doi.org/10.63056/acad.004.04.1157</w:t>
        </w:r>
      </w:hyperlink>
    </w:p>
    <w:p w14:paraId="29CD324E" w14:textId="77777777" w:rsidR="00637B3C" w:rsidRPr="00637B3C" w:rsidRDefault="00637B3C" w:rsidP="003C08D2">
      <w:pPr>
        <w:ind w:left="720" w:hanging="720"/>
        <w:jc w:val="both"/>
        <w:rPr>
          <w:rFonts w:ascii="Palatino Linotype" w:hAnsi="Palatino Linotype"/>
        </w:rPr>
      </w:pPr>
      <w:r w:rsidRPr="00637B3C">
        <w:rPr>
          <w:rFonts w:ascii="Palatino Linotype" w:hAnsi="Palatino Linotype"/>
        </w:rPr>
        <w:t>Truby, J., Dahdal, A., Brown, R. D., &amp; Ibrahim, I. A. (2026). Diplomacy in the age of AI: Legal and strategic approaches to techno-nationalism, regulatory soft power and the AI chips race. </w:t>
      </w:r>
      <w:r w:rsidRPr="00637B3C">
        <w:rPr>
          <w:rFonts w:ascii="Palatino Linotype" w:hAnsi="Palatino Linotype"/>
          <w:i/>
          <w:iCs/>
        </w:rPr>
        <w:t>Research in Globalization</w:t>
      </w:r>
      <w:r w:rsidRPr="00637B3C">
        <w:rPr>
          <w:rFonts w:ascii="Palatino Linotype" w:hAnsi="Palatino Linotype"/>
        </w:rPr>
        <w:t>, </w:t>
      </w:r>
      <w:r w:rsidRPr="00637B3C">
        <w:rPr>
          <w:rFonts w:ascii="Palatino Linotype" w:hAnsi="Palatino Linotype"/>
          <w:i/>
          <w:iCs/>
        </w:rPr>
        <w:t>12</w:t>
      </w:r>
      <w:r w:rsidRPr="00637B3C">
        <w:rPr>
          <w:rFonts w:ascii="Palatino Linotype" w:hAnsi="Palatino Linotype"/>
        </w:rPr>
        <w:t>, 100335–100335. </w:t>
      </w:r>
      <w:hyperlink r:id="rId42" w:tgtFrame="_blank" w:history="1">
        <w:r w:rsidRPr="00637B3C">
          <w:rPr>
            <w:rStyle w:val="Hyperlink"/>
            <w:rFonts w:ascii="Palatino Linotype" w:hAnsi="Palatino Linotype"/>
          </w:rPr>
          <w:t>https://doi.org/10.1016/j.resglo.2026.100335</w:t>
        </w:r>
      </w:hyperlink>
    </w:p>
    <w:p w14:paraId="400FA09E" w14:textId="77777777" w:rsidR="00637B3C" w:rsidRPr="00637B3C" w:rsidRDefault="00637B3C" w:rsidP="003C08D2">
      <w:pPr>
        <w:ind w:left="720" w:hanging="720"/>
        <w:jc w:val="both"/>
        <w:rPr>
          <w:rFonts w:ascii="Palatino Linotype" w:hAnsi="Palatino Linotype"/>
        </w:rPr>
      </w:pPr>
      <w:r w:rsidRPr="00637B3C">
        <w:rPr>
          <w:rFonts w:ascii="Palatino Linotype" w:hAnsi="Palatino Linotype"/>
        </w:rPr>
        <w:t>Upmann, P. (2026). The Geopolitics of AI Governance - AI Governance as a Geopolitical Infrastructure. In </w:t>
      </w:r>
      <w:r w:rsidRPr="00637B3C">
        <w:rPr>
          <w:rFonts w:ascii="Palatino Linotype" w:hAnsi="Palatino Linotype"/>
          <w:i/>
          <w:iCs/>
        </w:rPr>
        <w:t>Zenodo (CERN European Organization for Nuclear Research)</w:t>
      </w:r>
      <w:r w:rsidRPr="00637B3C">
        <w:rPr>
          <w:rFonts w:ascii="Palatino Linotype" w:hAnsi="Palatino Linotype"/>
        </w:rPr>
        <w:t>. European Organization for Nuclear Research. </w:t>
      </w:r>
      <w:hyperlink r:id="rId43" w:tgtFrame="_blank" w:history="1">
        <w:r w:rsidRPr="00637B3C">
          <w:rPr>
            <w:rStyle w:val="Hyperlink"/>
            <w:rFonts w:ascii="Palatino Linotype" w:hAnsi="Palatino Linotype"/>
          </w:rPr>
          <w:t>https://doi.org/10.5281/zenodo.19064602</w:t>
        </w:r>
      </w:hyperlink>
    </w:p>
    <w:p w14:paraId="3291B5C6" w14:textId="77777777" w:rsidR="00637B3C" w:rsidRPr="00637B3C" w:rsidRDefault="00637B3C" w:rsidP="003C08D2">
      <w:pPr>
        <w:ind w:left="720" w:hanging="720"/>
        <w:jc w:val="both"/>
        <w:rPr>
          <w:rFonts w:ascii="Palatino Linotype" w:hAnsi="Palatino Linotype"/>
        </w:rPr>
      </w:pPr>
      <w:r w:rsidRPr="00637B3C">
        <w:rPr>
          <w:rFonts w:ascii="Palatino Linotype" w:hAnsi="Palatino Linotype"/>
        </w:rPr>
        <w:t>Vaya-Arboledas, Á., Ferrer-Oliva, M., &amp; Medina, J. (2025). Evolution and Perspectives in IT Governance: A Systematic Literature Review. </w:t>
      </w:r>
      <w:r w:rsidRPr="00637B3C">
        <w:rPr>
          <w:rFonts w:ascii="Palatino Linotype" w:hAnsi="Palatino Linotype"/>
          <w:i/>
          <w:iCs/>
        </w:rPr>
        <w:t>Computers</w:t>
      </w:r>
      <w:r w:rsidRPr="00637B3C">
        <w:rPr>
          <w:rFonts w:ascii="Palatino Linotype" w:hAnsi="Palatino Linotype"/>
        </w:rPr>
        <w:t>, </w:t>
      </w:r>
      <w:r w:rsidRPr="00637B3C">
        <w:rPr>
          <w:rFonts w:ascii="Palatino Linotype" w:hAnsi="Palatino Linotype"/>
          <w:i/>
          <w:iCs/>
        </w:rPr>
        <w:t>14</w:t>
      </w:r>
      <w:r w:rsidRPr="00637B3C">
        <w:rPr>
          <w:rFonts w:ascii="Palatino Linotype" w:hAnsi="Palatino Linotype"/>
        </w:rPr>
        <w:t>(12), 520–520. </w:t>
      </w:r>
      <w:hyperlink r:id="rId44" w:tgtFrame="_blank" w:history="1">
        <w:r w:rsidRPr="00637B3C">
          <w:rPr>
            <w:rStyle w:val="Hyperlink"/>
            <w:rFonts w:ascii="Palatino Linotype" w:hAnsi="Palatino Linotype"/>
          </w:rPr>
          <w:t>https://doi.org/10.3390/computers14120520</w:t>
        </w:r>
      </w:hyperlink>
    </w:p>
    <w:p w14:paraId="1AF747BF" w14:textId="77777777" w:rsidR="00637B3C" w:rsidRPr="00637B3C" w:rsidRDefault="00637B3C" w:rsidP="003C08D2">
      <w:pPr>
        <w:ind w:left="720" w:hanging="720"/>
        <w:jc w:val="both"/>
        <w:rPr>
          <w:rFonts w:ascii="Palatino Linotype" w:hAnsi="Palatino Linotype"/>
        </w:rPr>
      </w:pPr>
      <w:r w:rsidRPr="00637B3C">
        <w:rPr>
          <w:rFonts w:ascii="Palatino Linotype" w:hAnsi="Palatino Linotype"/>
        </w:rPr>
        <w:t>Waisová, Š. C., &amp; Cabada, L. (2025). Global Governance, Digital Politics, and Human Rights Protection. In </w:t>
      </w:r>
      <w:r w:rsidRPr="00637B3C">
        <w:rPr>
          <w:rFonts w:ascii="Palatino Linotype" w:hAnsi="Palatino Linotype"/>
          <w:i/>
          <w:iCs/>
        </w:rPr>
        <w:t>Advances in computational intelligence and robotics book series</w:t>
      </w:r>
      <w:r w:rsidRPr="00637B3C">
        <w:rPr>
          <w:rFonts w:ascii="Palatino Linotype" w:hAnsi="Palatino Linotype"/>
        </w:rPr>
        <w:t> (pp. 247–268). IGI Global. </w:t>
      </w:r>
      <w:hyperlink r:id="rId45" w:tgtFrame="_blank" w:history="1">
        <w:r w:rsidRPr="00637B3C">
          <w:rPr>
            <w:rStyle w:val="Hyperlink"/>
            <w:rFonts w:ascii="Palatino Linotype" w:hAnsi="Palatino Linotype"/>
          </w:rPr>
          <w:t>https://doi.org/10.4018/979-8-3373-8510-5.ch008</w:t>
        </w:r>
      </w:hyperlink>
    </w:p>
    <w:p w14:paraId="1B88238F" w14:textId="77777777" w:rsidR="00637B3C" w:rsidRPr="00637B3C" w:rsidRDefault="00637B3C" w:rsidP="003C08D2">
      <w:pPr>
        <w:ind w:left="720" w:hanging="720"/>
        <w:jc w:val="both"/>
        <w:rPr>
          <w:rFonts w:ascii="Palatino Linotype" w:hAnsi="Palatino Linotype"/>
        </w:rPr>
      </w:pPr>
      <w:r w:rsidRPr="00637B3C">
        <w:rPr>
          <w:rFonts w:ascii="Palatino Linotype" w:hAnsi="Palatino Linotype"/>
        </w:rPr>
        <w:t>Xu, X., Lu, X., &amp; Meng, F. (2026). Digital Regulation and Environmental Performance: Evidence from Smart Environmental Monitoring Platforms in China. </w:t>
      </w:r>
      <w:r w:rsidRPr="00637B3C">
        <w:rPr>
          <w:rFonts w:ascii="Palatino Linotype" w:hAnsi="Palatino Linotype"/>
          <w:i/>
          <w:iCs/>
        </w:rPr>
        <w:t>SAGE Open</w:t>
      </w:r>
      <w:r w:rsidRPr="00637B3C">
        <w:rPr>
          <w:rFonts w:ascii="Palatino Linotype" w:hAnsi="Palatino Linotype"/>
        </w:rPr>
        <w:t>, </w:t>
      </w:r>
      <w:r w:rsidRPr="00637B3C">
        <w:rPr>
          <w:rFonts w:ascii="Palatino Linotype" w:hAnsi="Palatino Linotype"/>
          <w:i/>
          <w:iCs/>
        </w:rPr>
        <w:t>16</w:t>
      </w:r>
      <w:r w:rsidRPr="00637B3C">
        <w:rPr>
          <w:rFonts w:ascii="Palatino Linotype" w:hAnsi="Palatino Linotype"/>
        </w:rPr>
        <w:t>(1). </w:t>
      </w:r>
      <w:hyperlink r:id="rId46" w:tgtFrame="_blank" w:history="1">
        <w:r w:rsidRPr="00637B3C">
          <w:rPr>
            <w:rStyle w:val="Hyperlink"/>
            <w:rFonts w:ascii="Palatino Linotype" w:hAnsi="Palatino Linotype"/>
          </w:rPr>
          <w:t>https://doi.org/10.1177/21582440251409073</w:t>
        </w:r>
      </w:hyperlink>
    </w:p>
    <w:p w14:paraId="50C8EF21" w14:textId="77777777" w:rsidR="00637B3C" w:rsidRPr="00637B3C" w:rsidRDefault="00637B3C" w:rsidP="003C08D2">
      <w:pPr>
        <w:ind w:left="720" w:hanging="720"/>
        <w:jc w:val="both"/>
        <w:rPr>
          <w:rFonts w:ascii="Palatino Linotype" w:hAnsi="Palatino Linotype"/>
        </w:rPr>
      </w:pPr>
      <w:r w:rsidRPr="00637B3C">
        <w:rPr>
          <w:rFonts w:ascii="Palatino Linotype" w:hAnsi="Palatino Linotype"/>
        </w:rPr>
        <w:t>Zamora, Y. E. P. (2026). Globalización y transformación del derecho internacional público en el siglo XXI: soberanía, gobernanza y nuevos actores en el orden jurídico transnacional. </w:t>
      </w:r>
      <w:r w:rsidRPr="00637B3C">
        <w:rPr>
          <w:rFonts w:ascii="Palatino Linotype" w:hAnsi="Palatino Linotype"/>
          <w:i/>
          <w:iCs/>
        </w:rPr>
        <w:t>Revista Social Fronteriza</w:t>
      </w:r>
      <w:r w:rsidRPr="00637B3C">
        <w:rPr>
          <w:rFonts w:ascii="Palatino Linotype" w:hAnsi="Palatino Linotype"/>
        </w:rPr>
        <w:t>, </w:t>
      </w:r>
      <w:r w:rsidRPr="00637B3C">
        <w:rPr>
          <w:rFonts w:ascii="Palatino Linotype" w:hAnsi="Palatino Linotype"/>
          <w:i/>
          <w:iCs/>
        </w:rPr>
        <w:t>6</w:t>
      </w:r>
      <w:r w:rsidRPr="00637B3C">
        <w:rPr>
          <w:rFonts w:ascii="Palatino Linotype" w:hAnsi="Palatino Linotype"/>
        </w:rPr>
        <w:t>(2). </w:t>
      </w:r>
      <w:hyperlink r:id="rId47" w:tgtFrame="_blank" w:history="1">
        <w:r w:rsidRPr="00637B3C">
          <w:rPr>
            <w:rStyle w:val="Hyperlink"/>
            <w:rFonts w:ascii="Palatino Linotype" w:hAnsi="Palatino Linotype"/>
          </w:rPr>
          <w:t>https://doi.org/10.59814/resofro.2026.6(2)1075</w:t>
        </w:r>
      </w:hyperlink>
    </w:p>
    <w:p w14:paraId="14B080C4" w14:textId="77777777" w:rsidR="00637B3C" w:rsidRPr="006D7F93" w:rsidRDefault="00637B3C" w:rsidP="003C08D2">
      <w:pPr>
        <w:ind w:left="720" w:hanging="720"/>
        <w:jc w:val="both"/>
        <w:rPr>
          <w:rFonts w:ascii="Palatino Linotype" w:hAnsi="Palatino Linotype"/>
        </w:rPr>
      </w:pPr>
    </w:p>
    <w:sectPr w:rsidR="00637B3C" w:rsidRPr="006D7F93" w:rsidSect="00A575AD">
      <w:headerReference w:type="even" r:id="rId48"/>
      <w:footerReference w:type="even" r:id="rId49"/>
      <w:footerReference w:type="default" r:id="rId50"/>
      <w:headerReference w:type="first" r:id="rId51"/>
      <w:footerReference w:type="first" r:id="rId52"/>
      <w:pgSz w:w="12240" w:h="15840"/>
      <w:pgMar w:top="1980" w:right="1440" w:bottom="1440" w:left="1440" w:header="720" w:footer="720" w:gutter="0"/>
      <w:pgNumType w:start="6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DBCAC9" w14:textId="77777777" w:rsidR="00D320C9" w:rsidRDefault="00D320C9" w:rsidP="000C4F8E">
      <w:r>
        <w:separator/>
      </w:r>
    </w:p>
  </w:endnote>
  <w:endnote w:type="continuationSeparator" w:id="0">
    <w:p w14:paraId="42B8DBDE" w14:textId="77777777" w:rsidR="00D320C9" w:rsidRDefault="00D320C9" w:rsidP="000C4F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8630493"/>
      <w:docPartObj>
        <w:docPartGallery w:val="Page Numbers (Bottom of Page)"/>
        <w:docPartUnique/>
      </w:docPartObj>
    </w:sdtPr>
    <w:sdtEndPr>
      <w:rPr>
        <w:noProof/>
      </w:rPr>
    </w:sdtEndPr>
    <w:sdtContent>
      <w:p w14:paraId="72B6D8A1" w14:textId="2F74869B" w:rsidR="000C4F8E" w:rsidRDefault="000C4F8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716FF45" w14:textId="10FF9B70" w:rsidR="000C4F8E" w:rsidRDefault="000C4F8E" w:rsidP="000C4F8E">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F5573" w14:textId="77777777" w:rsidR="000C4F8E" w:rsidRPr="00041413" w:rsidRDefault="000C4F8E" w:rsidP="000C4F8E">
    <w:pPr>
      <w:pStyle w:val="Footer"/>
      <w:jc w:val="right"/>
      <w:rPr>
        <w:rFonts w:ascii="Palatino Linotype" w:hAnsi="Palatino Linotype"/>
        <w:i/>
        <w:iCs/>
      </w:rPr>
    </w:pPr>
    <w:r w:rsidRPr="00041413">
      <w:rPr>
        <w:rFonts w:ascii="Palatino Linotype" w:hAnsi="Palatino Linotype"/>
        <w:i/>
        <w:iCs/>
      </w:rPr>
      <w:t>Lexora: Journal of Civil Law and Social Humanities</w:t>
    </w:r>
  </w:p>
  <w:p w14:paraId="2512234C" w14:textId="77777777" w:rsidR="000C4F8E" w:rsidRDefault="000C4F8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6247037"/>
      <w:docPartObj>
        <w:docPartGallery w:val="Page Numbers (Bottom of Page)"/>
        <w:docPartUnique/>
      </w:docPartObj>
    </w:sdtPr>
    <w:sdtEndPr>
      <w:rPr>
        <w:noProof/>
      </w:rPr>
    </w:sdtEndPr>
    <w:sdtContent>
      <w:p w14:paraId="71BBB8A6" w14:textId="7D2FAFB3" w:rsidR="00FC252D" w:rsidRDefault="00000000">
        <w:pPr>
          <w:pStyle w:val="Footer"/>
          <w:jc w:val="center"/>
        </w:pPr>
      </w:p>
    </w:sdtContent>
  </w:sdt>
  <w:p w14:paraId="4874F535" w14:textId="4B885795" w:rsidR="000C4F8E" w:rsidRDefault="000C4F8E" w:rsidP="000C4F8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D5B0BD" w14:textId="77777777" w:rsidR="00D320C9" w:rsidRDefault="00D320C9" w:rsidP="000C4F8E">
      <w:r>
        <w:separator/>
      </w:r>
    </w:p>
  </w:footnote>
  <w:footnote w:type="continuationSeparator" w:id="0">
    <w:p w14:paraId="6E2A132B" w14:textId="77777777" w:rsidR="00D320C9" w:rsidRDefault="00D320C9" w:rsidP="000C4F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29225" w14:textId="77777777" w:rsidR="003C08D2" w:rsidRDefault="003C08D2" w:rsidP="003C08D2">
    <w:pPr>
      <w:jc w:val="right"/>
      <w:rPr>
        <w:rFonts w:ascii="Palatino Linotype" w:hAnsi="Palatino Linotype"/>
      </w:rPr>
    </w:pPr>
    <w:r w:rsidRPr="003C08D2">
      <w:rPr>
        <w:rFonts w:ascii="Palatino Linotype" w:hAnsi="Palatino Linotype"/>
      </w:rPr>
      <w:t>Ririn Fauziyah, Nor Salam</w:t>
    </w:r>
  </w:p>
  <w:p w14:paraId="3618162B" w14:textId="08CE1EDC" w:rsidR="000C4F8E" w:rsidRPr="003C08D2" w:rsidRDefault="000C4F8E" w:rsidP="003C08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7ED41" w14:textId="1E6DC3A3" w:rsidR="000C4F8E" w:rsidRDefault="000C4F8E">
    <w:pPr>
      <w:pStyle w:val="Header"/>
    </w:pPr>
    <w:r>
      <w:rPr>
        <w:noProof/>
      </w:rPr>
      <w:drawing>
        <wp:anchor distT="0" distB="0" distL="114300" distR="114300" simplePos="0" relativeHeight="251659264" behindDoc="1" locked="0" layoutInCell="1" allowOverlap="1" wp14:anchorId="73F6FBBC" wp14:editId="6BBB6475">
          <wp:simplePos x="0" y="0"/>
          <wp:positionH relativeFrom="margin">
            <wp:posOffset>-272029</wp:posOffset>
          </wp:positionH>
          <wp:positionV relativeFrom="paragraph">
            <wp:posOffset>-255065</wp:posOffset>
          </wp:positionV>
          <wp:extent cx="2247900" cy="881529"/>
          <wp:effectExtent l="0" t="0" r="0" b="0"/>
          <wp:wrapNone/>
          <wp:docPr id="8" name="Picture 8" descr="A logo with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red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47900" cy="88152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EED87CDE">
      <w:start w:val="1"/>
      <w:numFmt w:val="bullet"/>
      <w:lvlText w:val="•"/>
      <w:lvlJc w:val="left"/>
      <w:pPr>
        <w:tabs>
          <w:tab w:val="num" w:pos="180"/>
        </w:tabs>
        <w:ind w:left="180" w:hanging="180"/>
      </w:pPr>
      <w:rPr>
        <w:rFonts w:ascii="Symbol" w:eastAsia="Symbol" w:hAnsi="Symbol" w:cs="Symbol"/>
      </w:rPr>
    </w:lvl>
    <w:lvl w:ilvl="1" w:tplc="ECAAC2E0">
      <w:start w:val="1"/>
      <w:numFmt w:val="bullet"/>
      <w:lvlText w:val="•"/>
      <w:lvlJc w:val="left"/>
      <w:pPr>
        <w:tabs>
          <w:tab w:val="num" w:pos="540"/>
        </w:tabs>
        <w:ind w:left="540" w:hanging="180"/>
      </w:pPr>
      <w:rPr>
        <w:rFonts w:ascii="Symbol" w:eastAsia="Symbol" w:hAnsi="Symbol" w:cs="Symbol"/>
      </w:rPr>
    </w:lvl>
    <w:lvl w:ilvl="2" w:tplc="91C00C56">
      <w:start w:val="1"/>
      <w:numFmt w:val="bullet"/>
      <w:lvlText w:val="•"/>
      <w:lvlJc w:val="left"/>
      <w:pPr>
        <w:tabs>
          <w:tab w:val="num" w:pos="900"/>
        </w:tabs>
        <w:ind w:left="900" w:hanging="180"/>
      </w:pPr>
      <w:rPr>
        <w:rFonts w:ascii="Symbol" w:eastAsia="Symbol" w:hAnsi="Symbol" w:cs="Symbol"/>
      </w:rPr>
    </w:lvl>
    <w:lvl w:ilvl="3" w:tplc="8A4890EA">
      <w:start w:val="1"/>
      <w:numFmt w:val="bullet"/>
      <w:lvlText w:val="•"/>
      <w:lvlJc w:val="left"/>
      <w:pPr>
        <w:tabs>
          <w:tab w:val="num" w:pos="1260"/>
        </w:tabs>
        <w:ind w:left="1260" w:hanging="180"/>
      </w:pPr>
      <w:rPr>
        <w:rFonts w:ascii="Symbol" w:eastAsia="Symbol" w:hAnsi="Symbol" w:cs="Symbol"/>
      </w:rPr>
    </w:lvl>
    <w:lvl w:ilvl="4" w:tplc="CD468E16">
      <w:start w:val="1"/>
      <w:numFmt w:val="bullet"/>
      <w:lvlText w:val="•"/>
      <w:lvlJc w:val="left"/>
      <w:pPr>
        <w:tabs>
          <w:tab w:val="num" w:pos="1620"/>
        </w:tabs>
        <w:ind w:left="1620" w:hanging="180"/>
      </w:pPr>
      <w:rPr>
        <w:rFonts w:ascii="Symbol" w:eastAsia="Symbol" w:hAnsi="Symbol" w:cs="Symbol"/>
      </w:rPr>
    </w:lvl>
    <w:lvl w:ilvl="5" w:tplc="6BECB3EE">
      <w:start w:val="1"/>
      <w:numFmt w:val="bullet"/>
      <w:lvlText w:val="•"/>
      <w:lvlJc w:val="left"/>
      <w:pPr>
        <w:tabs>
          <w:tab w:val="num" w:pos="1980"/>
        </w:tabs>
        <w:ind w:left="1980" w:hanging="180"/>
      </w:pPr>
      <w:rPr>
        <w:rFonts w:ascii="Symbol" w:eastAsia="Symbol" w:hAnsi="Symbol" w:cs="Symbol"/>
      </w:rPr>
    </w:lvl>
    <w:lvl w:ilvl="6" w:tplc="31E2F9FA">
      <w:start w:val="1"/>
      <w:numFmt w:val="bullet"/>
      <w:lvlText w:val="•"/>
      <w:lvlJc w:val="left"/>
      <w:pPr>
        <w:tabs>
          <w:tab w:val="num" w:pos="2340"/>
        </w:tabs>
        <w:ind w:left="2340" w:hanging="180"/>
      </w:pPr>
      <w:rPr>
        <w:rFonts w:ascii="Symbol" w:eastAsia="Symbol" w:hAnsi="Symbol" w:cs="Symbol"/>
      </w:rPr>
    </w:lvl>
    <w:lvl w:ilvl="7" w:tplc="7B12C5C2">
      <w:start w:val="1"/>
      <w:numFmt w:val="bullet"/>
      <w:lvlText w:val="•"/>
      <w:lvlJc w:val="left"/>
      <w:pPr>
        <w:tabs>
          <w:tab w:val="num" w:pos="2700"/>
        </w:tabs>
        <w:ind w:left="2700" w:hanging="180"/>
      </w:pPr>
      <w:rPr>
        <w:rFonts w:ascii="Symbol" w:eastAsia="Symbol" w:hAnsi="Symbol" w:cs="Symbol"/>
      </w:rPr>
    </w:lvl>
    <w:lvl w:ilvl="8" w:tplc="4C1EAFCE">
      <w:start w:val="1"/>
      <w:numFmt w:val="bullet"/>
      <w:lvlText w:val="•"/>
      <w:lvlJc w:val="left"/>
      <w:pPr>
        <w:tabs>
          <w:tab w:val="num" w:pos="3060"/>
        </w:tabs>
        <w:ind w:left="3060" w:hanging="180"/>
      </w:pPr>
      <w:rPr>
        <w:rFonts w:ascii="Symbol" w:eastAsia="Symbol" w:hAnsi="Symbol" w:cs="Symbol"/>
      </w:rPr>
    </w:lvl>
  </w:abstractNum>
  <w:abstractNum w:abstractNumId="1" w15:restartNumberingAfterBreak="0">
    <w:nsid w:val="00000002"/>
    <w:multiLevelType w:val="hybridMultilevel"/>
    <w:tmpl w:val="00000002"/>
    <w:lvl w:ilvl="0" w:tplc="09463F90">
      <w:start w:val="1"/>
      <w:numFmt w:val="bullet"/>
      <w:lvlText w:val="•"/>
      <w:lvlJc w:val="left"/>
      <w:pPr>
        <w:tabs>
          <w:tab w:val="num" w:pos="180"/>
        </w:tabs>
        <w:ind w:left="180" w:hanging="180"/>
      </w:pPr>
      <w:rPr>
        <w:rFonts w:ascii="Symbol" w:eastAsia="Symbol" w:hAnsi="Symbol" w:cs="Symbol"/>
      </w:rPr>
    </w:lvl>
    <w:lvl w:ilvl="1" w:tplc="08CCBE3A">
      <w:start w:val="1"/>
      <w:numFmt w:val="bullet"/>
      <w:lvlText w:val="•"/>
      <w:lvlJc w:val="left"/>
      <w:pPr>
        <w:tabs>
          <w:tab w:val="num" w:pos="540"/>
        </w:tabs>
        <w:ind w:left="540" w:hanging="180"/>
      </w:pPr>
      <w:rPr>
        <w:rFonts w:ascii="Symbol" w:eastAsia="Symbol" w:hAnsi="Symbol" w:cs="Symbol"/>
      </w:rPr>
    </w:lvl>
    <w:lvl w:ilvl="2" w:tplc="2CDEB970">
      <w:start w:val="1"/>
      <w:numFmt w:val="bullet"/>
      <w:lvlText w:val="•"/>
      <w:lvlJc w:val="left"/>
      <w:pPr>
        <w:tabs>
          <w:tab w:val="num" w:pos="900"/>
        </w:tabs>
        <w:ind w:left="900" w:hanging="180"/>
      </w:pPr>
      <w:rPr>
        <w:rFonts w:ascii="Symbol" w:eastAsia="Symbol" w:hAnsi="Symbol" w:cs="Symbol"/>
      </w:rPr>
    </w:lvl>
    <w:lvl w:ilvl="3" w:tplc="994450E2">
      <w:start w:val="1"/>
      <w:numFmt w:val="bullet"/>
      <w:lvlText w:val="•"/>
      <w:lvlJc w:val="left"/>
      <w:pPr>
        <w:tabs>
          <w:tab w:val="num" w:pos="1260"/>
        </w:tabs>
        <w:ind w:left="1260" w:hanging="180"/>
      </w:pPr>
      <w:rPr>
        <w:rFonts w:ascii="Symbol" w:eastAsia="Symbol" w:hAnsi="Symbol" w:cs="Symbol"/>
      </w:rPr>
    </w:lvl>
    <w:lvl w:ilvl="4" w:tplc="5D6A23BA">
      <w:start w:val="1"/>
      <w:numFmt w:val="bullet"/>
      <w:lvlText w:val="•"/>
      <w:lvlJc w:val="left"/>
      <w:pPr>
        <w:tabs>
          <w:tab w:val="num" w:pos="1620"/>
        </w:tabs>
        <w:ind w:left="1620" w:hanging="180"/>
      </w:pPr>
      <w:rPr>
        <w:rFonts w:ascii="Symbol" w:eastAsia="Symbol" w:hAnsi="Symbol" w:cs="Symbol"/>
      </w:rPr>
    </w:lvl>
    <w:lvl w:ilvl="5" w:tplc="EC423084">
      <w:start w:val="1"/>
      <w:numFmt w:val="bullet"/>
      <w:lvlText w:val="•"/>
      <w:lvlJc w:val="left"/>
      <w:pPr>
        <w:tabs>
          <w:tab w:val="num" w:pos="1980"/>
        </w:tabs>
        <w:ind w:left="1980" w:hanging="180"/>
      </w:pPr>
      <w:rPr>
        <w:rFonts w:ascii="Symbol" w:eastAsia="Symbol" w:hAnsi="Symbol" w:cs="Symbol"/>
      </w:rPr>
    </w:lvl>
    <w:lvl w:ilvl="6" w:tplc="B18252A8">
      <w:start w:val="1"/>
      <w:numFmt w:val="bullet"/>
      <w:lvlText w:val="•"/>
      <w:lvlJc w:val="left"/>
      <w:pPr>
        <w:tabs>
          <w:tab w:val="num" w:pos="2340"/>
        </w:tabs>
        <w:ind w:left="2340" w:hanging="180"/>
      </w:pPr>
      <w:rPr>
        <w:rFonts w:ascii="Symbol" w:eastAsia="Symbol" w:hAnsi="Symbol" w:cs="Symbol"/>
      </w:rPr>
    </w:lvl>
    <w:lvl w:ilvl="7" w:tplc="515CBB7E">
      <w:start w:val="1"/>
      <w:numFmt w:val="bullet"/>
      <w:lvlText w:val="•"/>
      <w:lvlJc w:val="left"/>
      <w:pPr>
        <w:tabs>
          <w:tab w:val="num" w:pos="2700"/>
        </w:tabs>
        <w:ind w:left="2700" w:hanging="180"/>
      </w:pPr>
      <w:rPr>
        <w:rFonts w:ascii="Symbol" w:eastAsia="Symbol" w:hAnsi="Symbol" w:cs="Symbol"/>
      </w:rPr>
    </w:lvl>
    <w:lvl w:ilvl="8" w:tplc="5ECC2006">
      <w:start w:val="1"/>
      <w:numFmt w:val="bullet"/>
      <w:lvlText w:val="•"/>
      <w:lvlJc w:val="left"/>
      <w:pPr>
        <w:tabs>
          <w:tab w:val="num" w:pos="3060"/>
        </w:tabs>
        <w:ind w:left="3060" w:hanging="180"/>
      </w:pPr>
      <w:rPr>
        <w:rFonts w:ascii="Symbol" w:eastAsia="Symbol" w:hAnsi="Symbol" w:cs="Symbol"/>
      </w:rPr>
    </w:lvl>
  </w:abstractNum>
  <w:abstractNum w:abstractNumId="2" w15:restartNumberingAfterBreak="0">
    <w:nsid w:val="00000003"/>
    <w:multiLevelType w:val="hybridMultilevel"/>
    <w:tmpl w:val="00000003"/>
    <w:lvl w:ilvl="0" w:tplc="8D30D0D8">
      <w:start w:val="1"/>
      <w:numFmt w:val="bullet"/>
      <w:lvlText w:val="•"/>
      <w:lvlJc w:val="left"/>
      <w:pPr>
        <w:tabs>
          <w:tab w:val="num" w:pos="180"/>
        </w:tabs>
        <w:ind w:left="180" w:hanging="180"/>
      </w:pPr>
      <w:rPr>
        <w:rFonts w:ascii="Symbol" w:eastAsia="Symbol" w:hAnsi="Symbol" w:cs="Symbol"/>
      </w:rPr>
    </w:lvl>
    <w:lvl w:ilvl="1" w:tplc="73F2673C">
      <w:start w:val="1"/>
      <w:numFmt w:val="bullet"/>
      <w:lvlText w:val="•"/>
      <w:lvlJc w:val="left"/>
      <w:pPr>
        <w:tabs>
          <w:tab w:val="num" w:pos="540"/>
        </w:tabs>
        <w:ind w:left="540" w:hanging="180"/>
      </w:pPr>
      <w:rPr>
        <w:rFonts w:ascii="Symbol" w:eastAsia="Symbol" w:hAnsi="Symbol" w:cs="Symbol"/>
      </w:rPr>
    </w:lvl>
    <w:lvl w:ilvl="2" w:tplc="D9A29C8E">
      <w:start w:val="1"/>
      <w:numFmt w:val="bullet"/>
      <w:lvlText w:val="•"/>
      <w:lvlJc w:val="left"/>
      <w:pPr>
        <w:tabs>
          <w:tab w:val="num" w:pos="900"/>
        </w:tabs>
        <w:ind w:left="900" w:hanging="180"/>
      </w:pPr>
      <w:rPr>
        <w:rFonts w:ascii="Symbol" w:eastAsia="Symbol" w:hAnsi="Symbol" w:cs="Symbol"/>
      </w:rPr>
    </w:lvl>
    <w:lvl w:ilvl="3" w:tplc="6548EA46">
      <w:start w:val="1"/>
      <w:numFmt w:val="bullet"/>
      <w:lvlText w:val="•"/>
      <w:lvlJc w:val="left"/>
      <w:pPr>
        <w:tabs>
          <w:tab w:val="num" w:pos="1260"/>
        </w:tabs>
        <w:ind w:left="1260" w:hanging="180"/>
      </w:pPr>
      <w:rPr>
        <w:rFonts w:ascii="Symbol" w:eastAsia="Symbol" w:hAnsi="Symbol" w:cs="Symbol"/>
      </w:rPr>
    </w:lvl>
    <w:lvl w:ilvl="4" w:tplc="FD7AF1EE">
      <w:start w:val="1"/>
      <w:numFmt w:val="bullet"/>
      <w:lvlText w:val="•"/>
      <w:lvlJc w:val="left"/>
      <w:pPr>
        <w:tabs>
          <w:tab w:val="num" w:pos="1620"/>
        </w:tabs>
        <w:ind w:left="1620" w:hanging="180"/>
      </w:pPr>
      <w:rPr>
        <w:rFonts w:ascii="Symbol" w:eastAsia="Symbol" w:hAnsi="Symbol" w:cs="Symbol"/>
      </w:rPr>
    </w:lvl>
    <w:lvl w:ilvl="5" w:tplc="BE9AB914">
      <w:start w:val="1"/>
      <w:numFmt w:val="bullet"/>
      <w:lvlText w:val="•"/>
      <w:lvlJc w:val="left"/>
      <w:pPr>
        <w:tabs>
          <w:tab w:val="num" w:pos="1980"/>
        </w:tabs>
        <w:ind w:left="1980" w:hanging="180"/>
      </w:pPr>
      <w:rPr>
        <w:rFonts w:ascii="Symbol" w:eastAsia="Symbol" w:hAnsi="Symbol" w:cs="Symbol"/>
      </w:rPr>
    </w:lvl>
    <w:lvl w:ilvl="6" w:tplc="A3FA2036">
      <w:start w:val="1"/>
      <w:numFmt w:val="bullet"/>
      <w:lvlText w:val="•"/>
      <w:lvlJc w:val="left"/>
      <w:pPr>
        <w:tabs>
          <w:tab w:val="num" w:pos="2340"/>
        </w:tabs>
        <w:ind w:left="2340" w:hanging="180"/>
      </w:pPr>
      <w:rPr>
        <w:rFonts w:ascii="Symbol" w:eastAsia="Symbol" w:hAnsi="Symbol" w:cs="Symbol"/>
      </w:rPr>
    </w:lvl>
    <w:lvl w:ilvl="7" w:tplc="F89E63F8">
      <w:start w:val="1"/>
      <w:numFmt w:val="bullet"/>
      <w:lvlText w:val="•"/>
      <w:lvlJc w:val="left"/>
      <w:pPr>
        <w:tabs>
          <w:tab w:val="num" w:pos="2700"/>
        </w:tabs>
        <w:ind w:left="2700" w:hanging="180"/>
      </w:pPr>
      <w:rPr>
        <w:rFonts w:ascii="Symbol" w:eastAsia="Symbol" w:hAnsi="Symbol" w:cs="Symbol"/>
      </w:rPr>
    </w:lvl>
    <w:lvl w:ilvl="8" w:tplc="8716C8A6">
      <w:start w:val="1"/>
      <w:numFmt w:val="bullet"/>
      <w:lvlText w:val="•"/>
      <w:lvlJc w:val="left"/>
      <w:pPr>
        <w:tabs>
          <w:tab w:val="num" w:pos="3060"/>
        </w:tabs>
        <w:ind w:left="3060" w:hanging="180"/>
      </w:pPr>
      <w:rPr>
        <w:rFonts w:ascii="Symbol" w:eastAsia="Symbol" w:hAnsi="Symbol" w:cs="Symbol"/>
      </w:rPr>
    </w:lvl>
  </w:abstractNum>
  <w:abstractNum w:abstractNumId="3" w15:restartNumberingAfterBreak="0">
    <w:nsid w:val="06EA6AB1"/>
    <w:multiLevelType w:val="multilevel"/>
    <w:tmpl w:val="A16E7E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8B82AD2"/>
    <w:multiLevelType w:val="multilevel"/>
    <w:tmpl w:val="DB2A91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6592C09"/>
    <w:multiLevelType w:val="multilevel"/>
    <w:tmpl w:val="18E45B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8C81CFC"/>
    <w:multiLevelType w:val="multilevel"/>
    <w:tmpl w:val="71788F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7371507">
    <w:abstractNumId w:val="0"/>
  </w:num>
  <w:num w:numId="2" w16cid:durableId="1411005361">
    <w:abstractNumId w:val="1"/>
  </w:num>
  <w:num w:numId="3" w16cid:durableId="2036343673">
    <w:abstractNumId w:val="2"/>
  </w:num>
  <w:num w:numId="4" w16cid:durableId="938299635">
    <w:abstractNumId w:val="3"/>
  </w:num>
  <w:num w:numId="5" w16cid:durableId="383679504">
    <w:abstractNumId w:val="5"/>
  </w:num>
  <w:num w:numId="6" w16cid:durableId="1251624194">
    <w:abstractNumId w:val="6"/>
  </w:num>
  <w:num w:numId="7" w16cid:durableId="21336714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41413"/>
    <w:rsid w:val="00045BAD"/>
    <w:rsid w:val="000A4402"/>
    <w:rsid w:val="000C479D"/>
    <w:rsid w:val="000C4F8E"/>
    <w:rsid w:val="000E445F"/>
    <w:rsid w:val="000F0EEC"/>
    <w:rsid w:val="00135DBF"/>
    <w:rsid w:val="00146529"/>
    <w:rsid w:val="001511DA"/>
    <w:rsid w:val="001D1792"/>
    <w:rsid w:val="001F1D1A"/>
    <w:rsid w:val="001F2448"/>
    <w:rsid w:val="0022526C"/>
    <w:rsid w:val="0026504B"/>
    <w:rsid w:val="0028715A"/>
    <w:rsid w:val="002B28DB"/>
    <w:rsid w:val="002D0062"/>
    <w:rsid w:val="002F0272"/>
    <w:rsid w:val="003147B6"/>
    <w:rsid w:val="003534F0"/>
    <w:rsid w:val="00370BB4"/>
    <w:rsid w:val="00384A48"/>
    <w:rsid w:val="003C08D2"/>
    <w:rsid w:val="003C389D"/>
    <w:rsid w:val="003E1AE3"/>
    <w:rsid w:val="003F500A"/>
    <w:rsid w:val="00405333"/>
    <w:rsid w:val="00436502"/>
    <w:rsid w:val="00471A58"/>
    <w:rsid w:val="004C0E93"/>
    <w:rsid w:val="004C77FB"/>
    <w:rsid w:val="00551721"/>
    <w:rsid w:val="005F72F2"/>
    <w:rsid w:val="00637B3C"/>
    <w:rsid w:val="0069176E"/>
    <w:rsid w:val="006B25DA"/>
    <w:rsid w:val="006D7F93"/>
    <w:rsid w:val="00724AC0"/>
    <w:rsid w:val="0073527C"/>
    <w:rsid w:val="00745627"/>
    <w:rsid w:val="00780A48"/>
    <w:rsid w:val="00793768"/>
    <w:rsid w:val="007B7FD9"/>
    <w:rsid w:val="007D02B1"/>
    <w:rsid w:val="007F5787"/>
    <w:rsid w:val="007F5F46"/>
    <w:rsid w:val="007F61A0"/>
    <w:rsid w:val="00843621"/>
    <w:rsid w:val="00845E44"/>
    <w:rsid w:val="0086671B"/>
    <w:rsid w:val="008742A4"/>
    <w:rsid w:val="008A78D8"/>
    <w:rsid w:val="008B4E62"/>
    <w:rsid w:val="008F2142"/>
    <w:rsid w:val="009421AA"/>
    <w:rsid w:val="009703C3"/>
    <w:rsid w:val="009E509B"/>
    <w:rsid w:val="009F08C0"/>
    <w:rsid w:val="00A13A2A"/>
    <w:rsid w:val="00A35301"/>
    <w:rsid w:val="00A54E5B"/>
    <w:rsid w:val="00A561EB"/>
    <w:rsid w:val="00A575AD"/>
    <w:rsid w:val="00A71212"/>
    <w:rsid w:val="00A74542"/>
    <w:rsid w:val="00A77B3E"/>
    <w:rsid w:val="00AA02DD"/>
    <w:rsid w:val="00AA7160"/>
    <w:rsid w:val="00B1669D"/>
    <w:rsid w:val="00BA2E6A"/>
    <w:rsid w:val="00BC65A2"/>
    <w:rsid w:val="00C149C2"/>
    <w:rsid w:val="00C46372"/>
    <w:rsid w:val="00C51291"/>
    <w:rsid w:val="00C64370"/>
    <w:rsid w:val="00C90226"/>
    <w:rsid w:val="00CA2A55"/>
    <w:rsid w:val="00CB2DCE"/>
    <w:rsid w:val="00D1151C"/>
    <w:rsid w:val="00D132DE"/>
    <w:rsid w:val="00D320C9"/>
    <w:rsid w:val="00D56B95"/>
    <w:rsid w:val="00D72425"/>
    <w:rsid w:val="00DF017A"/>
    <w:rsid w:val="00E227FE"/>
    <w:rsid w:val="00E24804"/>
    <w:rsid w:val="00E57A7C"/>
    <w:rsid w:val="00E63FCB"/>
    <w:rsid w:val="00E64C2B"/>
    <w:rsid w:val="00E6562A"/>
    <w:rsid w:val="00E83657"/>
    <w:rsid w:val="00EA5C76"/>
    <w:rsid w:val="00EA5E5F"/>
    <w:rsid w:val="00EB5E2D"/>
    <w:rsid w:val="00EC17BE"/>
    <w:rsid w:val="00EF5E86"/>
    <w:rsid w:val="00F1790F"/>
    <w:rsid w:val="00F33413"/>
    <w:rsid w:val="00F43DF4"/>
    <w:rsid w:val="00FB5F3A"/>
    <w:rsid w:val="00FC252D"/>
    <w:rsid w:val="00FD49C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74A861"/>
  <w15:docId w15:val="{31127980-18C8-4C12-ABEA-6530D380C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EF7B96"/>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ofcontents">
    <w:name w:val="Table of contents"/>
    <w:pPr>
      <w:spacing w:after="200"/>
      <w:jc w:val="center"/>
    </w:pPr>
    <w:rPr>
      <w:b/>
      <w:sz w:val="32"/>
    </w:rPr>
  </w:style>
  <w:style w:type="paragraph" w:styleId="TOC1">
    <w:name w:val="toc 1"/>
    <w:basedOn w:val="Normal"/>
    <w:next w:val="Normal"/>
    <w:autoRedefine/>
    <w:rsid w:val="00805BCE"/>
  </w:style>
  <w:style w:type="character" w:styleId="Hyperlink">
    <w:name w:val="Hyperlink"/>
    <w:basedOn w:val="DefaultParagraphFont"/>
    <w:rsid w:val="00EF7B96"/>
    <w:rPr>
      <w:color w:val="0000FF"/>
      <w:u w:val="single"/>
    </w:rPr>
  </w:style>
  <w:style w:type="character" w:styleId="UnresolvedMention">
    <w:name w:val="Unresolved Mention"/>
    <w:basedOn w:val="DefaultParagraphFont"/>
    <w:uiPriority w:val="99"/>
    <w:semiHidden/>
    <w:unhideWhenUsed/>
    <w:rsid w:val="00843621"/>
    <w:rPr>
      <w:color w:val="605E5C"/>
      <w:shd w:val="clear" w:color="auto" w:fill="E1DFDD"/>
    </w:rPr>
  </w:style>
  <w:style w:type="character" w:styleId="PlaceholderText">
    <w:name w:val="Placeholder Text"/>
    <w:basedOn w:val="DefaultParagraphFont"/>
    <w:uiPriority w:val="99"/>
    <w:semiHidden/>
    <w:rsid w:val="0026504B"/>
    <w:rPr>
      <w:color w:val="666666"/>
    </w:rPr>
  </w:style>
  <w:style w:type="paragraph" w:styleId="Header">
    <w:name w:val="header"/>
    <w:basedOn w:val="Normal"/>
    <w:link w:val="HeaderChar"/>
    <w:unhideWhenUsed/>
    <w:rsid w:val="000C4F8E"/>
    <w:pPr>
      <w:tabs>
        <w:tab w:val="center" w:pos="4680"/>
        <w:tab w:val="right" w:pos="9360"/>
      </w:tabs>
    </w:pPr>
  </w:style>
  <w:style w:type="character" w:customStyle="1" w:styleId="HeaderChar">
    <w:name w:val="Header Char"/>
    <w:basedOn w:val="DefaultParagraphFont"/>
    <w:link w:val="Header"/>
    <w:rsid w:val="000C4F8E"/>
    <w:rPr>
      <w:sz w:val="24"/>
      <w:szCs w:val="24"/>
    </w:rPr>
  </w:style>
  <w:style w:type="paragraph" w:styleId="Footer">
    <w:name w:val="footer"/>
    <w:basedOn w:val="Normal"/>
    <w:link w:val="FooterChar"/>
    <w:uiPriority w:val="99"/>
    <w:unhideWhenUsed/>
    <w:rsid w:val="000C4F8E"/>
    <w:pPr>
      <w:tabs>
        <w:tab w:val="center" w:pos="4680"/>
        <w:tab w:val="right" w:pos="9360"/>
      </w:tabs>
    </w:pPr>
  </w:style>
  <w:style w:type="character" w:customStyle="1" w:styleId="FooterChar">
    <w:name w:val="Footer Char"/>
    <w:basedOn w:val="DefaultParagraphFont"/>
    <w:link w:val="Footer"/>
    <w:uiPriority w:val="99"/>
    <w:rsid w:val="000C4F8E"/>
    <w:rPr>
      <w:sz w:val="24"/>
      <w:szCs w:val="24"/>
    </w:rPr>
  </w:style>
  <w:style w:type="paragraph" w:customStyle="1" w:styleId="JenniRefBody">
    <w:name w:val="JenniRefBody"/>
    <w:qFormat/>
    <w:rsid w:val="008A78D8"/>
    <w:pPr>
      <w:spacing w:before="144" w:after="72"/>
    </w:pPr>
    <w:rPr>
      <w:color w:val="000000"/>
    </w:rPr>
  </w:style>
  <w:style w:type="paragraph" w:styleId="Title">
    <w:name w:val="Title"/>
    <w:link w:val="TitleChar"/>
    <w:uiPriority w:val="10"/>
    <w:qFormat/>
    <w:rsid w:val="00E63FCB"/>
    <w:pPr>
      <w:spacing w:before="144" w:after="72"/>
    </w:pPr>
    <w:rPr>
      <w:sz w:val="56"/>
      <w:szCs w:val="56"/>
    </w:rPr>
  </w:style>
  <w:style w:type="character" w:customStyle="1" w:styleId="TitleChar">
    <w:name w:val="Title Char"/>
    <w:basedOn w:val="DefaultParagraphFont"/>
    <w:link w:val="Title"/>
    <w:uiPriority w:val="10"/>
    <w:rsid w:val="00E63FCB"/>
    <w:rPr>
      <w:sz w:val="56"/>
      <w:szCs w:val="56"/>
    </w:rPr>
  </w:style>
  <w:style w:type="character" w:styleId="FollowedHyperlink">
    <w:name w:val="FollowedHyperlink"/>
    <w:basedOn w:val="DefaultParagraphFont"/>
    <w:semiHidden/>
    <w:unhideWhenUsed/>
    <w:rsid w:val="00370BB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198742">
      <w:bodyDiv w:val="1"/>
      <w:marLeft w:val="0"/>
      <w:marRight w:val="0"/>
      <w:marTop w:val="0"/>
      <w:marBottom w:val="0"/>
      <w:divBdr>
        <w:top w:val="none" w:sz="0" w:space="0" w:color="auto"/>
        <w:left w:val="none" w:sz="0" w:space="0" w:color="auto"/>
        <w:bottom w:val="none" w:sz="0" w:space="0" w:color="auto"/>
        <w:right w:val="none" w:sz="0" w:space="0" w:color="auto"/>
      </w:divBdr>
    </w:div>
    <w:div w:id="398669926">
      <w:bodyDiv w:val="1"/>
      <w:marLeft w:val="0"/>
      <w:marRight w:val="0"/>
      <w:marTop w:val="0"/>
      <w:marBottom w:val="0"/>
      <w:divBdr>
        <w:top w:val="none" w:sz="0" w:space="0" w:color="auto"/>
        <w:left w:val="none" w:sz="0" w:space="0" w:color="auto"/>
        <w:bottom w:val="none" w:sz="0" w:space="0" w:color="auto"/>
        <w:right w:val="none" w:sz="0" w:space="0" w:color="auto"/>
      </w:divBdr>
    </w:div>
    <w:div w:id="617103180">
      <w:bodyDiv w:val="1"/>
      <w:marLeft w:val="0"/>
      <w:marRight w:val="0"/>
      <w:marTop w:val="0"/>
      <w:marBottom w:val="0"/>
      <w:divBdr>
        <w:top w:val="none" w:sz="0" w:space="0" w:color="auto"/>
        <w:left w:val="none" w:sz="0" w:space="0" w:color="auto"/>
        <w:bottom w:val="none" w:sz="0" w:space="0" w:color="auto"/>
        <w:right w:val="none" w:sz="0" w:space="0" w:color="auto"/>
      </w:divBdr>
    </w:div>
    <w:div w:id="620890571">
      <w:bodyDiv w:val="1"/>
      <w:marLeft w:val="0"/>
      <w:marRight w:val="0"/>
      <w:marTop w:val="0"/>
      <w:marBottom w:val="0"/>
      <w:divBdr>
        <w:top w:val="none" w:sz="0" w:space="0" w:color="auto"/>
        <w:left w:val="none" w:sz="0" w:space="0" w:color="auto"/>
        <w:bottom w:val="none" w:sz="0" w:space="0" w:color="auto"/>
        <w:right w:val="none" w:sz="0" w:space="0" w:color="auto"/>
      </w:divBdr>
    </w:div>
    <w:div w:id="648678776">
      <w:bodyDiv w:val="1"/>
      <w:marLeft w:val="0"/>
      <w:marRight w:val="0"/>
      <w:marTop w:val="0"/>
      <w:marBottom w:val="0"/>
      <w:divBdr>
        <w:top w:val="none" w:sz="0" w:space="0" w:color="auto"/>
        <w:left w:val="none" w:sz="0" w:space="0" w:color="auto"/>
        <w:bottom w:val="none" w:sz="0" w:space="0" w:color="auto"/>
        <w:right w:val="none" w:sz="0" w:space="0" w:color="auto"/>
      </w:divBdr>
      <w:divsChild>
        <w:div w:id="1634798241">
          <w:marLeft w:val="0"/>
          <w:marRight w:val="0"/>
          <w:marTop w:val="0"/>
          <w:marBottom w:val="0"/>
          <w:divBdr>
            <w:top w:val="none" w:sz="0" w:space="0" w:color="auto"/>
            <w:left w:val="none" w:sz="0" w:space="0" w:color="auto"/>
            <w:bottom w:val="none" w:sz="0" w:space="0" w:color="auto"/>
            <w:right w:val="none" w:sz="0" w:space="0" w:color="auto"/>
          </w:divBdr>
          <w:divsChild>
            <w:div w:id="827987371">
              <w:marLeft w:val="0"/>
              <w:marRight w:val="0"/>
              <w:marTop w:val="0"/>
              <w:marBottom w:val="0"/>
              <w:divBdr>
                <w:top w:val="none" w:sz="0" w:space="0" w:color="auto"/>
                <w:left w:val="none" w:sz="0" w:space="0" w:color="auto"/>
                <w:bottom w:val="none" w:sz="0" w:space="0" w:color="auto"/>
                <w:right w:val="none" w:sz="0" w:space="0" w:color="auto"/>
              </w:divBdr>
              <w:divsChild>
                <w:div w:id="114531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845043">
          <w:marLeft w:val="0"/>
          <w:marRight w:val="0"/>
          <w:marTop w:val="0"/>
          <w:marBottom w:val="0"/>
          <w:divBdr>
            <w:top w:val="none" w:sz="0" w:space="0" w:color="auto"/>
            <w:left w:val="none" w:sz="0" w:space="0" w:color="auto"/>
            <w:bottom w:val="none" w:sz="0" w:space="0" w:color="auto"/>
            <w:right w:val="none" w:sz="0" w:space="0" w:color="auto"/>
          </w:divBdr>
          <w:divsChild>
            <w:div w:id="454832167">
              <w:marLeft w:val="0"/>
              <w:marRight w:val="0"/>
              <w:marTop w:val="0"/>
              <w:marBottom w:val="0"/>
              <w:divBdr>
                <w:top w:val="none" w:sz="0" w:space="0" w:color="auto"/>
                <w:left w:val="none" w:sz="0" w:space="0" w:color="auto"/>
                <w:bottom w:val="none" w:sz="0" w:space="0" w:color="auto"/>
                <w:right w:val="none" w:sz="0" w:space="0" w:color="auto"/>
              </w:divBdr>
              <w:divsChild>
                <w:div w:id="1300309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476380">
          <w:marLeft w:val="0"/>
          <w:marRight w:val="0"/>
          <w:marTop w:val="0"/>
          <w:marBottom w:val="0"/>
          <w:divBdr>
            <w:top w:val="none" w:sz="0" w:space="0" w:color="auto"/>
            <w:left w:val="none" w:sz="0" w:space="0" w:color="auto"/>
            <w:bottom w:val="none" w:sz="0" w:space="0" w:color="auto"/>
            <w:right w:val="none" w:sz="0" w:space="0" w:color="auto"/>
          </w:divBdr>
          <w:divsChild>
            <w:div w:id="1141458544">
              <w:marLeft w:val="0"/>
              <w:marRight w:val="0"/>
              <w:marTop w:val="0"/>
              <w:marBottom w:val="0"/>
              <w:divBdr>
                <w:top w:val="none" w:sz="0" w:space="0" w:color="auto"/>
                <w:left w:val="none" w:sz="0" w:space="0" w:color="auto"/>
                <w:bottom w:val="none" w:sz="0" w:space="0" w:color="auto"/>
                <w:right w:val="none" w:sz="0" w:space="0" w:color="auto"/>
              </w:divBdr>
              <w:divsChild>
                <w:div w:id="173816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846398">
          <w:marLeft w:val="0"/>
          <w:marRight w:val="0"/>
          <w:marTop w:val="0"/>
          <w:marBottom w:val="0"/>
          <w:divBdr>
            <w:top w:val="none" w:sz="0" w:space="0" w:color="auto"/>
            <w:left w:val="none" w:sz="0" w:space="0" w:color="auto"/>
            <w:bottom w:val="none" w:sz="0" w:space="0" w:color="auto"/>
            <w:right w:val="none" w:sz="0" w:space="0" w:color="auto"/>
          </w:divBdr>
          <w:divsChild>
            <w:div w:id="1981109310">
              <w:marLeft w:val="0"/>
              <w:marRight w:val="0"/>
              <w:marTop w:val="0"/>
              <w:marBottom w:val="0"/>
              <w:divBdr>
                <w:top w:val="none" w:sz="0" w:space="0" w:color="auto"/>
                <w:left w:val="none" w:sz="0" w:space="0" w:color="auto"/>
                <w:bottom w:val="none" w:sz="0" w:space="0" w:color="auto"/>
                <w:right w:val="none" w:sz="0" w:space="0" w:color="auto"/>
              </w:divBdr>
              <w:divsChild>
                <w:div w:id="83769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662924">
          <w:marLeft w:val="0"/>
          <w:marRight w:val="0"/>
          <w:marTop w:val="0"/>
          <w:marBottom w:val="0"/>
          <w:divBdr>
            <w:top w:val="none" w:sz="0" w:space="0" w:color="auto"/>
            <w:left w:val="none" w:sz="0" w:space="0" w:color="auto"/>
            <w:bottom w:val="none" w:sz="0" w:space="0" w:color="auto"/>
            <w:right w:val="none" w:sz="0" w:space="0" w:color="auto"/>
          </w:divBdr>
          <w:divsChild>
            <w:div w:id="886988234">
              <w:marLeft w:val="0"/>
              <w:marRight w:val="0"/>
              <w:marTop w:val="0"/>
              <w:marBottom w:val="0"/>
              <w:divBdr>
                <w:top w:val="none" w:sz="0" w:space="0" w:color="auto"/>
                <w:left w:val="none" w:sz="0" w:space="0" w:color="auto"/>
                <w:bottom w:val="none" w:sz="0" w:space="0" w:color="auto"/>
                <w:right w:val="none" w:sz="0" w:space="0" w:color="auto"/>
              </w:divBdr>
              <w:divsChild>
                <w:div w:id="500897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594238">
          <w:marLeft w:val="0"/>
          <w:marRight w:val="0"/>
          <w:marTop w:val="0"/>
          <w:marBottom w:val="0"/>
          <w:divBdr>
            <w:top w:val="none" w:sz="0" w:space="0" w:color="auto"/>
            <w:left w:val="none" w:sz="0" w:space="0" w:color="auto"/>
            <w:bottom w:val="none" w:sz="0" w:space="0" w:color="auto"/>
            <w:right w:val="none" w:sz="0" w:space="0" w:color="auto"/>
          </w:divBdr>
          <w:divsChild>
            <w:div w:id="387268193">
              <w:marLeft w:val="0"/>
              <w:marRight w:val="0"/>
              <w:marTop w:val="0"/>
              <w:marBottom w:val="0"/>
              <w:divBdr>
                <w:top w:val="none" w:sz="0" w:space="0" w:color="auto"/>
                <w:left w:val="none" w:sz="0" w:space="0" w:color="auto"/>
                <w:bottom w:val="none" w:sz="0" w:space="0" w:color="auto"/>
                <w:right w:val="none" w:sz="0" w:space="0" w:color="auto"/>
              </w:divBdr>
              <w:divsChild>
                <w:div w:id="37153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98437">
          <w:marLeft w:val="0"/>
          <w:marRight w:val="0"/>
          <w:marTop w:val="0"/>
          <w:marBottom w:val="0"/>
          <w:divBdr>
            <w:top w:val="none" w:sz="0" w:space="0" w:color="auto"/>
            <w:left w:val="none" w:sz="0" w:space="0" w:color="auto"/>
            <w:bottom w:val="none" w:sz="0" w:space="0" w:color="auto"/>
            <w:right w:val="none" w:sz="0" w:space="0" w:color="auto"/>
          </w:divBdr>
          <w:divsChild>
            <w:div w:id="466777588">
              <w:marLeft w:val="0"/>
              <w:marRight w:val="0"/>
              <w:marTop w:val="0"/>
              <w:marBottom w:val="0"/>
              <w:divBdr>
                <w:top w:val="none" w:sz="0" w:space="0" w:color="auto"/>
                <w:left w:val="none" w:sz="0" w:space="0" w:color="auto"/>
                <w:bottom w:val="none" w:sz="0" w:space="0" w:color="auto"/>
                <w:right w:val="none" w:sz="0" w:space="0" w:color="auto"/>
              </w:divBdr>
              <w:divsChild>
                <w:div w:id="3915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554050">
          <w:marLeft w:val="0"/>
          <w:marRight w:val="0"/>
          <w:marTop w:val="0"/>
          <w:marBottom w:val="0"/>
          <w:divBdr>
            <w:top w:val="none" w:sz="0" w:space="0" w:color="auto"/>
            <w:left w:val="none" w:sz="0" w:space="0" w:color="auto"/>
            <w:bottom w:val="none" w:sz="0" w:space="0" w:color="auto"/>
            <w:right w:val="none" w:sz="0" w:space="0" w:color="auto"/>
          </w:divBdr>
          <w:divsChild>
            <w:div w:id="1962111450">
              <w:marLeft w:val="0"/>
              <w:marRight w:val="0"/>
              <w:marTop w:val="0"/>
              <w:marBottom w:val="0"/>
              <w:divBdr>
                <w:top w:val="none" w:sz="0" w:space="0" w:color="auto"/>
                <w:left w:val="none" w:sz="0" w:space="0" w:color="auto"/>
                <w:bottom w:val="none" w:sz="0" w:space="0" w:color="auto"/>
                <w:right w:val="none" w:sz="0" w:space="0" w:color="auto"/>
              </w:divBdr>
              <w:divsChild>
                <w:div w:id="931470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132349">
          <w:marLeft w:val="0"/>
          <w:marRight w:val="0"/>
          <w:marTop w:val="0"/>
          <w:marBottom w:val="0"/>
          <w:divBdr>
            <w:top w:val="none" w:sz="0" w:space="0" w:color="auto"/>
            <w:left w:val="none" w:sz="0" w:space="0" w:color="auto"/>
            <w:bottom w:val="none" w:sz="0" w:space="0" w:color="auto"/>
            <w:right w:val="none" w:sz="0" w:space="0" w:color="auto"/>
          </w:divBdr>
          <w:divsChild>
            <w:div w:id="543444416">
              <w:marLeft w:val="0"/>
              <w:marRight w:val="0"/>
              <w:marTop w:val="0"/>
              <w:marBottom w:val="0"/>
              <w:divBdr>
                <w:top w:val="none" w:sz="0" w:space="0" w:color="auto"/>
                <w:left w:val="none" w:sz="0" w:space="0" w:color="auto"/>
                <w:bottom w:val="none" w:sz="0" w:space="0" w:color="auto"/>
                <w:right w:val="none" w:sz="0" w:space="0" w:color="auto"/>
              </w:divBdr>
              <w:divsChild>
                <w:div w:id="1673947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214090">
          <w:marLeft w:val="0"/>
          <w:marRight w:val="0"/>
          <w:marTop w:val="0"/>
          <w:marBottom w:val="0"/>
          <w:divBdr>
            <w:top w:val="none" w:sz="0" w:space="0" w:color="auto"/>
            <w:left w:val="none" w:sz="0" w:space="0" w:color="auto"/>
            <w:bottom w:val="none" w:sz="0" w:space="0" w:color="auto"/>
            <w:right w:val="none" w:sz="0" w:space="0" w:color="auto"/>
          </w:divBdr>
          <w:divsChild>
            <w:div w:id="928078567">
              <w:marLeft w:val="0"/>
              <w:marRight w:val="0"/>
              <w:marTop w:val="0"/>
              <w:marBottom w:val="0"/>
              <w:divBdr>
                <w:top w:val="none" w:sz="0" w:space="0" w:color="auto"/>
                <w:left w:val="none" w:sz="0" w:space="0" w:color="auto"/>
                <w:bottom w:val="none" w:sz="0" w:space="0" w:color="auto"/>
                <w:right w:val="none" w:sz="0" w:space="0" w:color="auto"/>
              </w:divBdr>
              <w:divsChild>
                <w:div w:id="736829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576348">
          <w:marLeft w:val="0"/>
          <w:marRight w:val="0"/>
          <w:marTop w:val="0"/>
          <w:marBottom w:val="0"/>
          <w:divBdr>
            <w:top w:val="none" w:sz="0" w:space="0" w:color="auto"/>
            <w:left w:val="none" w:sz="0" w:space="0" w:color="auto"/>
            <w:bottom w:val="none" w:sz="0" w:space="0" w:color="auto"/>
            <w:right w:val="none" w:sz="0" w:space="0" w:color="auto"/>
          </w:divBdr>
          <w:divsChild>
            <w:div w:id="1169178766">
              <w:marLeft w:val="0"/>
              <w:marRight w:val="0"/>
              <w:marTop w:val="0"/>
              <w:marBottom w:val="0"/>
              <w:divBdr>
                <w:top w:val="none" w:sz="0" w:space="0" w:color="auto"/>
                <w:left w:val="none" w:sz="0" w:space="0" w:color="auto"/>
                <w:bottom w:val="none" w:sz="0" w:space="0" w:color="auto"/>
                <w:right w:val="none" w:sz="0" w:space="0" w:color="auto"/>
              </w:divBdr>
              <w:divsChild>
                <w:div w:id="13383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298348">
          <w:marLeft w:val="0"/>
          <w:marRight w:val="0"/>
          <w:marTop w:val="0"/>
          <w:marBottom w:val="0"/>
          <w:divBdr>
            <w:top w:val="none" w:sz="0" w:space="0" w:color="auto"/>
            <w:left w:val="none" w:sz="0" w:space="0" w:color="auto"/>
            <w:bottom w:val="none" w:sz="0" w:space="0" w:color="auto"/>
            <w:right w:val="none" w:sz="0" w:space="0" w:color="auto"/>
          </w:divBdr>
          <w:divsChild>
            <w:div w:id="1883597098">
              <w:marLeft w:val="0"/>
              <w:marRight w:val="0"/>
              <w:marTop w:val="0"/>
              <w:marBottom w:val="0"/>
              <w:divBdr>
                <w:top w:val="none" w:sz="0" w:space="0" w:color="auto"/>
                <w:left w:val="none" w:sz="0" w:space="0" w:color="auto"/>
                <w:bottom w:val="none" w:sz="0" w:space="0" w:color="auto"/>
                <w:right w:val="none" w:sz="0" w:space="0" w:color="auto"/>
              </w:divBdr>
              <w:divsChild>
                <w:div w:id="1350133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60713">
          <w:marLeft w:val="0"/>
          <w:marRight w:val="0"/>
          <w:marTop w:val="0"/>
          <w:marBottom w:val="0"/>
          <w:divBdr>
            <w:top w:val="none" w:sz="0" w:space="0" w:color="auto"/>
            <w:left w:val="none" w:sz="0" w:space="0" w:color="auto"/>
            <w:bottom w:val="none" w:sz="0" w:space="0" w:color="auto"/>
            <w:right w:val="none" w:sz="0" w:space="0" w:color="auto"/>
          </w:divBdr>
          <w:divsChild>
            <w:div w:id="1742214872">
              <w:marLeft w:val="0"/>
              <w:marRight w:val="0"/>
              <w:marTop w:val="0"/>
              <w:marBottom w:val="0"/>
              <w:divBdr>
                <w:top w:val="none" w:sz="0" w:space="0" w:color="auto"/>
                <w:left w:val="none" w:sz="0" w:space="0" w:color="auto"/>
                <w:bottom w:val="none" w:sz="0" w:space="0" w:color="auto"/>
                <w:right w:val="none" w:sz="0" w:space="0" w:color="auto"/>
              </w:divBdr>
              <w:divsChild>
                <w:div w:id="75335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476364">
          <w:marLeft w:val="0"/>
          <w:marRight w:val="0"/>
          <w:marTop w:val="0"/>
          <w:marBottom w:val="0"/>
          <w:divBdr>
            <w:top w:val="none" w:sz="0" w:space="0" w:color="auto"/>
            <w:left w:val="none" w:sz="0" w:space="0" w:color="auto"/>
            <w:bottom w:val="none" w:sz="0" w:space="0" w:color="auto"/>
            <w:right w:val="none" w:sz="0" w:space="0" w:color="auto"/>
          </w:divBdr>
          <w:divsChild>
            <w:div w:id="254166970">
              <w:marLeft w:val="0"/>
              <w:marRight w:val="0"/>
              <w:marTop w:val="0"/>
              <w:marBottom w:val="0"/>
              <w:divBdr>
                <w:top w:val="none" w:sz="0" w:space="0" w:color="auto"/>
                <w:left w:val="none" w:sz="0" w:space="0" w:color="auto"/>
                <w:bottom w:val="none" w:sz="0" w:space="0" w:color="auto"/>
                <w:right w:val="none" w:sz="0" w:space="0" w:color="auto"/>
              </w:divBdr>
              <w:divsChild>
                <w:div w:id="15675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817696">
          <w:marLeft w:val="0"/>
          <w:marRight w:val="0"/>
          <w:marTop w:val="0"/>
          <w:marBottom w:val="0"/>
          <w:divBdr>
            <w:top w:val="none" w:sz="0" w:space="0" w:color="auto"/>
            <w:left w:val="none" w:sz="0" w:space="0" w:color="auto"/>
            <w:bottom w:val="none" w:sz="0" w:space="0" w:color="auto"/>
            <w:right w:val="none" w:sz="0" w:space="0" w:color="auto"/>
          </w:divBdr>
          <w:divsChild>
            <w:div w:id="2013296450">
              <w:marLeft w:val="0"/>
              <w:marRight w:val="0"/>
              <w:marTop w:val="0"/>
              <w:marBottom w:val="0"/>
              <w:divBdr>
                <w:top w:val="none" w:sz="0" w:space="0" w:color="auto"/>
                <w:left w:val="none" w:sz="0" w:space="0" w:color="auto"/>
                <w:bottom w:val="none" w:sz="0" w:space="0" w:color="auto"/>
                <w:right w:val="none" w:sz="0" w:space="0" w:color="auto"/>
              </w:divBdr>
              <w:divsChild>
                <w:div w:id="104105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5136">
          <w:marLeft w:val="0"/>
          <w:marRight w:val="0"/>
          <w:marTop w:val="0"/>
          <w:marBottom w:val="0"/>
          <w:divBdr>
            <w:top w:val="none" w:sz="0" w:space="0" w:color="auto"/>
            <w:left w:val="none" w:sz="0" w:space="0" w:color="auto"/>
            <w:bottom w:val="none" w:sz="0" w:space="0" w:color="auto"/>
            <w:right w:val="none" w:sz="0" w:space="0" w:color="auto"/>
          </w:divBdr>
          <w:divsChild>
            <w:div w:id="939681284">
              <w:marLeft w:val="0"/>
              <w:marRight w:val="0"/>
              <w:marTop w:val="0"/>
              <w:marBottom w:val="0"/>
              <w:divBdr>
                <w:top w:val="none" w:sz="0" w:space="0" w:color="auto"/>
                <w:left w:val="none" w:sz="0" w:space="0" w:color="auto"/>
                <w:bottom w:val="none" w:sz="0" w:space="0" w:color="auto"/>
                <w:right w:val="none" w:sz="0" w:space="0" w:color="auto"/>
              </w:divBdr>
              <w:divsChild>
                <w:div w:id="84181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904053">
          <w:marLeft w:val="0"/>
          <w:marRight w:val="0"/>
          <w:marTop w:val="0"/>
          <w:marBottom w:val="0"/>
          <w:divBdr>
            <w:top w:val="none" w:sz="0" w:space="0" w:color="auto"/>
            <w:left w:val="none" w:sz="0" w:space="0" w:color="auto"/>
            <w:bottom w:val="none" w:sz="0" w:space="0" w:color="auto"/>
            <w:right w:val="none" w:sz="0" w:space="0" w:color="auto"/>
          </w:divBdr>
          <w:divsChild>
            <w:div w:id="611979059">
              <w:marLeft w:val="0"/>
              <w:marRight w:val="0"/>
              <w:marTop w:val="0"/>
              <w:marBottom w:val="0"/>
              <w:divBdr>
                <w:top w:val="none" w:sz="0" w:space="0" w:color="auto"/>
                <w:left w:val="none" w:sz="0" w:space="0" w:color="auto"/>
                <w:bottom w:val="none" w:sz="0" w:space="0" w:color="auto"/>
                <w:right w:val="none" w:sz="0" w:space="0" w:color="auto"/>
              </w:divBdr>
              <w:divsChild>
                <w:div w:id="12740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656739">
          <w:marLeft w:val="0"/>
          <w:marRight w:val="0"/>
          <w:marTop w:val="0"/>
          <w:marBottom w:val="0"/>
          <w:divBdr>
            <w:top w:val="none" w:sz="0" w:space="0" w:color="auto"/>
            <w:left w:val="none" w:sz="0" w:space="0" w:color="auto"/>
            <w:bottom w:val="none" w:sz="0" w:space="0" w:color="auto"/>
            <w:right w:val="none" w:sz="0" w:space="0" w:color="auto"/>
          </w:divBdr>
          <w:divsChild>
            <w:div w:id="2106731843">
              <w:marLeft w:val="0"/>
              <w:marRight w:val="0"/>
              <w:marTop w:val="0"/>
              <w:marBottom w:val="0"/>
              <w:divBdr>
                <w:top w:val="none" w:sz="0" w:space="0" w:color="auto"/>
                <w:left w:val="none" w:sz="0" w:space="0" w:color="auto"/>
                <w:bottom w:val="none" w:sz="0" w:space="0" w:color="auto"/>
                <w:right w:val="none" w:sz="0" w:space="0" w:color="auto"/>
              </w:divBdr>
              <w:divsChild>
                <w:div w:id="1484279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82168">
          <w:marLeft w:val="0"/>
          <w:marRight w:val="0"/>
          <w:marTop w:val="0"/>
          <w:marBottom w:val="0"/>
          <w:divBdr>
            <w:top w:val="none" w:sz="0" w:space="0" w:color="auto"/>
            <w:left w:val="none" w:sz="0" w:space="0" w:color="auto"/>
            <w:bottom w:val="none" w:sz="0" w:space="0" w:color="auto"/>
            <w:right w:val="none" w:sz="0" w:space="0" w:color="auto"/>
          </w:divBdr>
          <w:divsChild>
            <w:div w:id="996768556">
              <w:marLeft w:val="0"/>
              <w:marRight w:val="0"/>
              <w:marTop w:val="0"/>
              <w:marBottom w:val="0"/>
              <w:divBdr>
                <w:top w:val="none" w:sz="0" w:space="0" w:color="auto"/>
                <w:left w:val="none" w:sz="0" w:space="0" w:color="auto"/>
                <w:bottom w:val="none" w:sz="0" w:space="0" w:color="auto"/>
                <w:right w:val="none" w:sz="0" w:space="0" w:color="auto"/>
              </w:divBdr>
              <w:divsChild>
                <w:div w:id="1331520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532896">
          <w:marLeft w:val="0"/>
          <w:marRight w:val="0"/>
          <w:marTop w:val="0"/>
          <w:marBottom w:val="0"/>
          <w:divBdr>
            <w:top w:val="none" w:sz="0" w:space="0" w:color="auto"/>
            <w:left w:val="none" w:sz="0" w:space="0" w:color="auto"/>
            <w:bottom w:val="none" w:sz="0" w:space="0" w:color="auto"/>
            <w:right w:val="none" w:sz="0" w:space="0" w:color="auto"/>
          </w:divBdr>
          <w:divsChild>
            <w:div w:id="511260543">
              <w:marLeft w:val="0"/>
              <w:marRight w:val="0"/>
              <w:marTop w:val="0"/>
              <w:marBottom w:val="0"/>
              <w:divBdr>
                <w:top w:val="none" w:sz="0" w:space="0" w:color="auto"/>
                <w:left w:val="none" w:sz="0" w:space="0" w:color="auto"/>
                <w:bottom w:val="none" w:sz="0" w:space="0" w:color="auto"/>
                <w:right w:val="none" w:sz="0" w:space="0" w:color="auto"/>
              </w:divBdr>
              <w:divsChild>
                <w:div w:id="1828475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478218">
          <w:marLeft w:val="0"/>
          <w:marRight w:val="0"/>
          <w:marTop w:val="0"/>
          <w:marBottom w:val="0"/>
          <w:divBdr>
            <w:top w:val="none" w:sz="0" w:space="0" w:color="auto"/>
            <w:left w:val="none" w:sz="0" w:space="0" w:color="auto"/>
            <w:bottom w:val="none" w:sz="0" w:space="0" w:color="auto"/>
            <w:right w:val="none" w:sz="0" w:space="0" w:color="auto"/>
          </w:divBdr>
          <w:divsChild>
            <w:div w:id="724836846">
              <w:marLeft w:val="0"/>
              <w:marRight w:val="0"/>
              <w:marTop w:val="0"/>
              <w:marBottom w:val="0"/>
              <w:divBdr>
                <w:top w:val="none" w:sz="0" w:space="0" w:color="auto"/>
                <w:left w:val="none" w:sz="0" w:space="0" w:color="auto"/>
                <w:bottom w:val="none" w:sz="0" w:space="0" w:color="auto"/>
                <w:right w:val="none" w:sz="0" w:space="0" w:color="auto"/>
              </w:divBdr>
              <w:divsChild>
                <w:div w:id="105500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536308">
          <w:marLeft w:val="0"/>
          <w:marRight w:val="0"/>
          <w:marTop w:val="0"/>
          <w:marBottom w:val="0"/>
          <w:divBdr>
            <w:top w:val="none" w:sz="0" w:space="0" w:color="auto"/>
            <w:left w:val="none" w:sz="0" w:space="0" w:color="auto"/>
            <w:bottom w:val="none" w:sz="0" w:space="0" w:color="auto"/>
            <w:right w:val="none" w:sz="0" w:space="0" w:color="auto"/>
          </w:divBdr>
          <w:divsChild>
            <w:div w:id="1791435607">
              <w:marLeft w:val="0"/>
              <w:marRight w:val="0"/>
              <w:marTop w:val="0"/>
              <w:marBottom w:val="0"/>
              <w:divBdr>
                <w:top w:val="none" w:sz="0" w:space="0" w:color="auto"/>
                <w:left w:val="none" w:sz="0" w:space="0" w:color="auto"/>
                <w:bottom w:val="none" w:sz="0" w:space="0" w:color="auto"/>
                <w:right w:val="none" w:sz="0" w:space="0" w:color="auto"/>
              </w:divBdr>
              <w:divsChild>
                <w:div w:id="134559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3076">
          <w:marLeft w:val="0"/>
          <w:marRight w:val="0"/>
          <w:marTop w:val="0"/>
          <w:marBottom w:val="0"/>
          <w:divBdr>
            <w:top w:val="none" w:sz="0" w:space="0" w:color="auto"/>
            <w:left w:val="none" w:sz="0" w:space="0" w:color="auto"/>
            <w:bottom w:val="none" w:sz="0" w:space="0" w:color="auto"/>
            <w:right w:val="none" w:sz="0" w:space="0" w:color="auto"/>
          </w:divBdr>
          <w:divsChild>
            <w:div w:id="260453024">
              <w:marLeft w:val="0"/>
              <w:marRight w:val="0"/>
              <w:marTop w:val="0"/>
              <w:marBottom w:val="0"/>
              <w:divBdr>
                <w:top w:val="none" w:sz="0" w:space="0" w:color="auto"/>
                <w:left w:val="none" w:sz="0" w:space="0" w:color="auto"/>
                <w:bottom w:val="none" w:sz="0" w:space="0" w:color="auto"/>
                <w:right w:val="none" w:sz="0" w:space="0" w:color="auto"/>
              </w:divBdr>
              <w:divsChild>
                <w:div w:id="116150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656914">
          <w:marLeft w:val="0"/>
          <w:marRight w:val="0"/>
          <w:marTop w:val="0"/>
          <w:marBottom w:val="0"/>
          <w:divBdr>
            <w:top w:val="none" w:sz="0" w:space="0" w:color="auto"/>
            <w:left w:val="none" w:sz="0" w:space="0" w:color="auto"/>
            <w:bottom w:val="none" w:sz="0" w:space="0" w:color="auto"/>
            <w:right w:val="none" w:sz="0" w:space="0" w:color="auto"/>
          </w:divBdr>
          <w:divsChild>
            <w:div w:id="1432049479">
              <w:marLeft w:val="0"/>
              <w:marRight w:val="0"/>
              <w:marTop w:val="0"/>
              <w:marBottom w:val="0"/>
              <w:divBdr>
                <w:top w:val="none" w:sz="0" w:space="0" w:color="auto"/>
                <w:left w:val="none" w:sz="0" w:space="0" w:color="auto"/>
                <w:bottom w:val="none" w:sz="0" w:space="0" w:color="auto"/>
                <w:right w:val="none" w:sz="0" w:space="0" w:color="auto"/>
              </w:divBdr>
              <w:divsChild>
                <w:div w:id="1202282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895391">
          <w:marLeft w:val="0"/>
          <w:marRight w:val="0"/>
          <w:marTop w:val="0"/>
          <w:marBottom w:val="0"/>
          <w:divBdr>
            <w:top w:val="none" w:sz="0" w:space="0" w:color="auto"/>
            <w:left w:val="none" w:sz="0" w:space="0" w:color="auto"/>
            <w:bottom w:val="none" w:sz="0" w:space="0" w:color="auto"/>
            <w:right w:val="none" w:sz="0" w:space="0" w:color="auto"/>
          </w:divBdr>
          <w:divsChild>
            <w:div w:id="1839031627">
              <w:marLeft w:val="0"/>
              <w:marRight w:val="0"/>
              <w:marTop w:val="0"/>
              <w:marBottom w:val="0"/>
              <w:divBdr>
                <w:top w:val="none" w:sz="0" w:space="0" w:color="auto"/>
                <w:left w:val="none" w:sz="0" w:space="0" w:color="auto"/>
                <w:bottom w:val="none" w:sz="0" w:space="0" w:color="auto"/>
                <w:right w:val="none" w:sz="0" w:space="0" w:color="auto"/>
              </w:divBdr>
              <w:divsChild>
                <w:div w:id="37581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417250">
          <w:marLeft w:val="0"/>
          <w:marRight w:val="0"/>
          <w:marTop w:val="0"/>
          <w:marBottom w:val="0"/>
          <w:divBdr>
            <w:top w:val="none" w:sz="0" w:space="0" w:color="auto"/>
            <w:left w:val="none" w:sz="0" w:space="0" w:color="auto"/>
            <w:bottom w:val="none" w:sz="0" w:space="0" w:color="auto"/>
            <w:right w:val="none" w:sz="0" w:space="0" w:color="auto"/>
          </w:divBdr>
          <w:divsChild>
            <w:div w:id="1876000375">
              <w:marLeft w:val="0"/>
              <w:marRight w:val="0"/>
              <w:marTop w:val="0"/>
              <w:marBottom w:val="0"/>
              <w:divBdr>
                <w:top w:val="none" w:sz="0" w:space="0" w:color="auto"/>
                <w:left w:val="none" w:sz="0" w:space="0" w:color="auto"/>
                <w:bottom w:val="none" w:sz="0" w:space="0" w:color="auto"/>
                <w:right w:val="none" w:sz="0" w:space="0" w:color="auto"/>
              </w:divBdr>
              <w:divsChild>
                <w:div w:id="55706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407310">
          <w:marLeft w:val="0"/>
          <w:marRight w:val="0"/>
          <w:marTop w:val="0"/>
          <w:marBottom w:val="0"/>
          <w:divBdr>
            <w:top w:val="none" w:sz="0" w:space="0" w:color="auto"/>
            <w:left w:val="none" w:sz="0" w:space="0" w:color="auto"/>
            <w:bottom w:val="none" w:sz="0" w:space="0" w:color="auto"/>
            <w:right w:val="none" w:sz="0" w:space="0" w:color="auto"/>
          </w:divBdr>
          <w:divsChild>
            <w:div w:id="1376464423">
              <w:marLeft w:val="0"/>
              <w:marRight w:val="0"/>
              <w:marTop w:val="0"/>
              <w:marBottom w:val="0"/>
              <w:divBdr>
                <w:top w:val="none" w:sz="0" w:space="0" w:color="auto"/>
                <w:left w:val="none" w:sz="0" w:space="0" w:color="auto"/>
                <w:bottom w:val="none" w:sz="0" w:space="0" w:color="auto"/>
                <w:right w:val="none" w:sz="0" w:space="0" w:color="auto"/>
              </w:divBdr>
              <w:divsChild>
                <w:div w:id="170814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680960">
          <w:marLeft w:val="0"/>
          <w:marRight w:val="0"/>
          <w:marTop w:val="0"/>
          <w:marBottom w:val="0"/>
          <w:divBdr>
            <w:top w:val="none" w:sz="0" w:space="0" w:color="auto"/>
            <w:left w:val="none" w:sz="0" w:space="0" w:color="auto"/>
            <w:bottom w:val="none" w:sz="0" w:space="0" w:color="auto"/>
            <w:right w:val="none" w:sz="0" w:space="0" w:color="auto"/>
          </w:divBdr>
          <w:divsChild>
            <w:div w:id="1964848616">
              <w:marLeft w:val="0"/>
              <w:marRight w:val="0"/>
              <w:marTop w:val="0"/>
              <w:marBottom w:val="0"/>
              <w:divBdr>
                <w:top w:val="none" w:sz="0" w:space="0" w:color="auto"/>
                <w:left w:val="none" w:sz="0" w:space="0" w:color="auto"/>
                <w:bottom w:val="none" w:sz="0" w:space="0" w:color="auto"/>
                <w:right w:val="none" w:sz="0" w:space="0" w:color="auto"/>
              </w:divBdr>
              <w:divsChild>
                <w:div w:id="77066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12728">
          <w:marLeft w:val="0"/>
          <w:marRight w:val="0"/>
          <w:marTop w:val="0"/>
          <w:marBottom w:val="0"/>
          <w:divBdr>
            <w:top w:val="none" w:sz="0" w:space="0" w:color="auto"/>
            <w:left w:val="none" w:sz="0" w:space="0" w:color="auto"/>
            <w:bottom w:val="none" w:sz="0" w:space="0" w:color="auto"/>
            <w:right w:val="none" w:sz="0" w:space="0" w:color="auto"/>
          </w:divBdr>
          <w:divsChild>
            <w:div w:id="536965520">
              <w:marLeft w:val="0"/>
              <w:marRight w:val="0"/>
              <w:marTop w:val="0"/>
              <w:marBottom w:val="0"/>
              <w:divBdr>
                <w:top w:val="none" w:sz="0" w:space="0" w:color="auto"/>
                <w:left w:val="none" w:sz="0" w:space="0" w:color="auto"/>
                <w:bottom w:val="none" w:sz="0" w:space="0" w:color="auto"/>
                <w:right w:val="none" w:sz="0" w:space="0" w:color="auto"/>
              </w:divBdr>
              <w:divsChild>
                <w:div w:id="957029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937301">
          <w:marLeft w:val="0"/>
          <w:marRight w:val="0"/>
          <w:marTop w:val="0"/>
          <w:marBottom w:val="0"/>
          <w:divBdr>
            <w:top w:val="none" w:sz="0" w:space="0" w:color="auto"/>
            <w:left w:val="none" w:sz="0" w:space="0" w:color="auto"/>
            <w:bottom w:val="none" w:sz="0" w:space="0" w:color="auto"/>
            <w:right w:val="none" w:sz="0" w:space="0" w:color="auto"/>
          </w:divBdr>
          <w:divsChild>
            <w:div w:id="2115126963">
              <w:marLeft w:val="0"/>
              <w:marRight w:val="0"/>
              <w:marTop w:val="0"/>
              <w:marBottom w:val="0"/>
              <w:divBdr>
                <w:top w:val="none" w:sz="0" w:space="0" w:color="auto"/>
                <w:left w:val="none" w:sz="0" w:space="0" w:color="auto"/>
                <w:bottom w:val="none" w:sz="0" w:space="0" w:color="auto"/>
                <w:right w:val="none" w:sz="0" w:space="0" w:color="auto"/>
              </w:divBdr>
              <w:divsChild>
                <w:div w:id="194684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581211">
          <w:marLeft w:val="0"/>
          <w:marRight w:val="0"/>
          <w:marTop w:val="0"/>
          <w:marBottom w:val="0"/>
          <w:divBdr>
            <w:top w:val="none" w:sz="0" w:space="0" w:color="auto"/>
            <w:left w:val="none" w:sz="0" w:space="0" w:color="auto"/>
            <w:bottom w:val="none" w:sz="0" w:space="0" w:color="auto"/>
            <w:right w:val="none" w:sz="0" w:space="0" w:color="auto"/>
          </w:divBdr>
          <w:divsChild>
            <w:div w:id="449517495">
              <w:marLeft w:val="0"/>
              <w:marRight w:val="0"/>
              <w:marTop w:val="0"/>
              <w:marBottom w:val="0"/>
              <w:divBdr>
                <w:top w:val="none" w:sz="0" w:space="0" w:color="auto"/>
                <w:left w:val="none" w:sz="0" w:space="0" w:color="auto"/>
                <w:bottom w:val="none" w:sz="0" w:space="0" w:color="auto"/>
                <w:right w:val="none" w:sz="0" w:space="0" w:color="auto"/>
              </w:divBdr>
              <w:divsChild>
                <w:div w:id="943079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807328">
          <w:marLeft w:val="0"/>
          <w:marRight w:val="0"/>
          <w:marTop w:val="0"/>
          <w:marBottom w:val="0"/>
          <w:divBdr>
            <w:top w:val="none" w:sz="0" w:space="0" w:color="auto"/>
            <w:left w:val="none" w:sz="0" w:space="0" w:color="auto"/>
            <w:bottom w:val="none" w:sz="0" w:space="0" w:color="auto"/>
            <w:right w:val="none" w:sz="0" w:space="0" w:color="auto"/>
          </w:divBdr>
          <w:divsChild>
            <w:div w:id="941644714">
              <w:marLeft w:val="0"/>
              <w:marRight w:val="0"/>
              <w:marTop w:val="0"/>
              <w:marBottom w:val="0"/>
              <w:divBdr>
                <w:top w:val="none" w:sz="0" w:space="0" w:color="auto"/>
                <w:left w:val="none" w:sz="0" w:space="0" w:color="auto"/>
                <w:bottom w:val="none" w:sz="0" w:space="0" w:color="auto"/>
                <w:right w:val="none" w:sz="0" w:space="0" w:color="auto"/>
              </w:divBdr>
              <w:divsChild>
                <w:div w:id="110639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282459">
          <w:marLeft w:val="0"/>
          <w:marRight w:val="0"/>
          <w:marTop w:val="0"/>
          <w:marBottom w:val="0"/>
          <w:divBdr>
            <w:top w:val="none" w:sz="0" w:space="0" w:color="auto"/>
            <w:left w:val="none" w:sz="0" w:space="0" w:color="auto"/>
            <w:bottom w:val="none" w:sz="0" w:space="0" w:color="auto"/>
            <w:right w:val="none" w:sz="0" w:space="0" w:color="auto"/>
          </w:divBdr>
          <w:divsChild>
            <w:div w:id="1758404199">
              <w:marLeft w:val="0"/>
              <w:marRight w:val="0"/>
              <w:marTop w:val="0"/>
              <w:marBottom w:val="0"/>
              <w:divBdr>
                <w:top w:val="none" w:sz="0" w:space="0" w:color="auto"/>
                <w:left w:val="none" w:sz="0" w:space="0" w:color="auto"/>
                <w:bottom w:val="none" w:sz="0" w:space="0" w:color="auto"/>
                <w:right w:val="none" w:sz="0" w:space="0" w:color="auto"/>
              </w:divBdr>
              <w:divsChild>
                <w:div w:id="171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767158">
          <w:marLeft w:val="0"/>
          <w:marRight w:val="0"/>
          <w:marTop w:val="0"/>
          <w:marBottom w:val="0"/>
          <w:divBdr>
            <w:top w:val="none" w:sz="0" w:space="0" w:color="auto"/>
            <w:left w:val="none" w:sz="0" w:space="0" w:color="auto"/>
            <w:bottom w:val="none" w:sz="0" w:space="0" w:color="auto"/>
            <w:right w:val="none" w:sz="0" w:space="0" w:color="auto"/>
          </w:divBdr>
          <w:divsChild>
            <w:div w:id="1346782873">
              <w:marLeft w:val="0"/>
              <w:marRight w:val="0"/>
              <w:marTop w:val="0"/>
              <w:marBottom w:val="0"/>
              <w:divBdr>
                <w:top w:val="none" w:sz="0" w:space="0" w:color="auto"/>
                <w:left w:val="none" w:sz="0" w:space="0" w:color="auto"/>
                <w:bottom w:val="none" w:sz="0" w:space="0" w:color="auto"/>
                <w:right w:val="none" w:sz="0" w:space="0" w:color="auto"/>
              </w:divBdr>
              <w:divsChild>
                <w:div w:id="95128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369814">
          <w:marLeft w:val="0"/>
          <w:marRight w:val="0"/>
          <w:marTop w:val="0"/>
          <w:marBottom w:val="0"/>
          <w:divBdr>
            <w:top w:val="none" w:sz="0" w:space="0" w:color="auto"/>
            <w:left w:val="none" w:sz="0" w:space="0" w:color="auto"/>
            <w:bottom w:val="none" w:sz="0" w:space="0" w:color="auto"/>
            <w:right w:val="none" w:sz="0" w:space="0" w:color="auto"/>
          </w:divBdr>
          <w:divsChild>
            <w:div w:id="1464421861">
              <w:marLeft w:val="0"/>
              <w:marRight w:val="0"/>
              <w:marTop w:val="0"/>
              <w:marBottom w:val="0"/>
              <w:divBdr>
                <w:top w:val="none" w:sz="0" w:space="0" w:color="auto"/>
                <w:left w:val="none" w:sz="0" w:space="0" w:color="auto"/>
                <w:bottom w:val="none" w:sz="0" w:space="0" w:color="auto"/>
                <w:right w:val="none" w:sz="0" w:space="0" w:color="auto"/>
              </w:divBdr>
              <w:divsChild>
                <w:div w:id="21446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324595">
          <w:marLeft w:val="0"/>
          <w:marRight w:val="0"/>
          <w:marTop w:val="0"/>
          <w:marBottom w:val="0"/>
          <w:divBdr>
            <w:top w:val="none" w:sz="0" w:space="0" w:color="auto"/>
            <w:left w:val="none" w:sz="0" w:space="0" w:color="auto"/>
            <w:bottom w:val="none" w:sz="0" w:space="0" w:color="auto"/>
            <w:right w:val="none" w:sz="0" w:space="0" w:color="auto"/>
          </w:divBdr>
          <w:divsChild>
            <w:div w:id="1628929327">
              <w:marLeft w:val="0"/>
              <w:marRight w:val="0"/>
              <w:marTop w:val="0"/>
              <w:marBottom w:val="0"/>
              <w:divBdr>
                <w:top w:val="none" w:sz="0" w:space="0" w:color="auto"/>
                <w:left w:val="none" w:sz="0" w:space="0" w:color="auto"/>
                <w:bottom w:val="none" w:sz="0" w:space="0" w:color="auto"/>
                <w:right w:val="none" w:sz="0" w:space="0" w:color="auto"/>
              </w:divBdr>
              <w:divsChild>
                <w:div w:id="62705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575933">
          <w:marLeft w:val="0"/>
          <w:marRight w:val="0"/>
          <w:marTop w:val="0"/>
          <w:marBottom w:val="0"/>
          <w:divBdr>
            <w:top w:val="none" w:sz="0" w:space="0" w:color="auto"/>
            <w:left w:val="none" w:sz="0" w:space="0" w:color="auto"/>
            <w:bottom w:val="none" w:sz="0" w:space="0" w:color="auto"/>
            <w:right w:val="none" w:sz="0" w:space="0" w:color="auto"/>
          </w:divBdr>
          <w:divsChild>
            <w:div w:id="1402169959">
              <w:marLeft w:val="0"/>
              <w:marRight w:val="0"/>
              <w:marTop w:val="0"/>
              <w:marBottom w:val="0"/>
              <w:divBdr>
                <w:top w:val="none" w:sz="0" w:space="0" w:color="auto"/>
                <w:left w:val="none" w:sz="0" w:space="0" w:color="auto"/>
                <w:bottom w:val="none" w:sz="0" w:space="0" w:color="auto"/>
                <w:right w:val="none" w:sz="0" w:space="0" w:color="auto"/>
              </w:divBdr>
              <w:divsChild>
                <w:div w:id="1727148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525860">
          <w:marLeft w:val="0"/>
          <w:marRight w:val="0"/>
          <w:marTop w:val="0"/>
          <w:marBottom w:val="0"/>
          <w:divBdr>
            <w:top w:val="none" w:sz="0" w:space="0" w:color="auto"/>
            <w:left w:val="none" w:sz="0" w:space="0" w:color="auto"/>
            <w:bottom w:val="none" w:sz="0" w:space="0" w:color="auto"/>
            <w:right w:val="none" w:sz="0" w:space="0" w:color="auto"/>
          </w:divBdr>
          <w:divsChild>
            <w:div w:id="1763450519">
              <w:marLeft w:val="0"/>
              <w:marRight w:val="0"/>
              <w:marTop w:val="0"/>
              <w:marBottom w:val="0"/>
              <w:divBdr>
                <w:top w:val="none" w:sz="0" w:space="0" w:color="auto"/>
                <w:left w:val="none" w:sz="0" w:space="0" w:color="auto"/>
                <w:bottom w:val="none" w:sz="0" w:space="0" w:color="auto"/>
                <w:right w:val="none" w:sz="0" w:space="0" w:color="auto"/>
              </w:divBdr>
              <w:divsChild>
                <w:div w:id="181509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376684">
          <w:marLeft w:val="0"/>
          <w:marRight w:val="0"/>
          <w:marTop w:val="0"/>
          <w:marBottom w:val="0"/>
          <w:divBdr>
            <w:top w:val="none" w:sz="0" w:space="0" w:color="auto"/>
            <w:left w:val="none" w:sz="0" w:space="0" w:color="auto"/>
            <w:bottom w:val="none" w:sz="0" w:space="0" w:color="auto"/>
            <w:right w:val="none" w:sz="0" w:space="0" w:color="auto"/>
          </w:divBdr>
          <w:divsChild>
            <w:div w:id="1234396082">
              <w:marLeft w:val="0"/>
              <w:marRight w:val="0"/>
              <w:marTop w:val="0"/>
              <w:marBottom w:val="0"/>
              <w:divBdr>
                <w:top w:val="none" w:sz="0" w:space="0" w:color="auto"/>
                <w:left w:val="none" w:sz="0" w:space="0" w:color="auto"/>
                <w:bottom w:val="none" w:sz="0" w:space="0" w:color="auto"/>
                <w:right w:val="none" w:sz="0" w:space="0" w:color="auto"/>
              </w:divBdr>
              <w:divsChild>
                <w:div w:id="1736467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051829">
          <w:marLeft w:val="0"/>
          <w:marRight w:val="0"/>
          <w:marTop w:val="0"/>
          <w:marBottom w:val="0"/>
          <w:divBdr>
            <w:top w:val="none" w:sz="0" w:space="0" w:color="auto"/>
            <w:left w:val="none" w:sz="0" w:space="0" w:color="auto"/>
            <w:bottom w:val="none" w:sz="0" w:space="0" w:color="auto"/>
            <w:right w:val="none" w:sz="0" w:space="0" w:color="auto"/>
          </w:divBdr>
          <w:divsChild>
            <w:div w:id="2007509699">
              <w:marLeft w:val="0"/>
              <w:marRight w:val="0"/>
              <w:marTop w:val="0"/>
              <w:marBottom w:val="0"/>
              <w:divBdr>
                <w:top w:val="none" w:sz="0" w:space="0" w:color="auto"/>
                <w:left w:val="none" w:sz="0" w:space="0" w:color="auto"/>
                <w:bottom w:val="none" w:sz="0" w:space="0" w:color="auto"/>
                <w:right w:val="none" w:sz="0" w:space="0" w:color="auto"/>
              </w:divBdr>
              <w:divsChild>
                <w:div w:id="133071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257470">
          <w:marLeft w:val="0"/>
          <w:marRight w:val="0"/>
          <w:marTop w:val="0"/>
          <w:marBottom w:val="0"/>
          <w:divBdr>
            <w:top w:val="none" w:sz="0" w:space="0" w:color="auto"/>
            <w:left w:val="none" w:sz="0" w:space="0" w:color="auto"/>
            <w:bottom w:val="none" w:sz="0" w:space="0" w:color="auto"/>
            <w:right w:val="none" w:sz="0" w:space="0" w:color="auto"/>
          </w:divBdr>
          <w:divsChild>
            <w:div w:id="441271212">
              <w:marLeft w:val="0"/>
              <w:marRight w:val="0"/>
              <w:marTop w:val="0"/>
              <w:marBottom w:val="0"/>
              <w:divBdr>
                <w:top w:val="none" w:sz="0" w:space="0" w:color="auto"/>
                <w:left w:val="none" w:sz="0" w:space="0" w:color="auto"/>
                <w:bottom w:val="none" w:sz="0" w:space="0" w:color="auto"/>
                <w:right w:val="none" w:sz="0" w:space="0" w:color="auto"/>
              </w:divBdr>
              <w:divsChild>
                <w:div w:id="669917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12120">
          <w:marLeft w:val="0"/>
          <w:marRight w:val="0"/>
          <w:marTop w:val="0"/>
          <w:marBottom w:val="0"/>
          <w:divBdr>
            <w:top w:val="none" w:sz="0" w:space="0" w:color="auto"/>
            <w:left w:val="none" w:sz="0" w:space="0" w:color="auto"/>
            <w:bottom w:val="none" w:sz="0" w:space="0" w:color="auto"/>
            <w:right w:val="none" w:sz="0" w:space="0" w:color="auto"/>
          </w:divBdr>
          <w:divsChild>
            <w:div w:id="844706406">
              <w:marLeft w:val="0"/>
              <w:marRight w:val="0"/>
              <w:marTop w:val="0"/>
              <w:marBottom w:val="0"/>
              <w:divBdr>
                <w:top w:val="none" w:sz="0" w:space="0" w:color="auto"/>
                <w:left w:val="none" w:sz="0" w:space="0" w:color="auto"/>
                <w:bottom w:val="none" w:sz="0" w:space="0" w:color="auto"/>
                <w:right w:val="none" w:sz="0" w:space="0" w:color="auto"/>
              </w:divBdr>
              <w:divsChild>
                <w:div w:id="188678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418551">
      <w:bodyDiv w:val="1"/>
      <w:marLeft w:val="0"/>
      <w:marRight w:val="0"/>
      <w:marTop w:val="0"/>
      <w:marBottom w:val="0"/>
      <w:divBdr>
        <w:top w:val="none" w:sz="0" w:space="0" w:color="auto"/>
        <w:left w:val="none" w:sz="0" w:space="0" w:color="auto"/>
        <w:bottom w:val="none" w:sz="0" w:space="0" w:color="auto"/>
        <w:right w:val="none" w:sz="0" w:space="0" w:color="auto"/>
      </w:divBdr>
    </w:div>
    <w:div w:id="740640183">
      <w:bodyDiv w:val="1"/>
      <w:marLeft w:val="0"/>
      <w:marRight w:val="0"/>
      <w:marTop w:val="0"/>
      <w:marBottom w:val="0"/>
      <w:divBdr>
        <w:top w:val="none" w:sz="0" w:space="0" w:color="auto"/>
        <w:left w:val="none" w:sz="0" w:space="0" w:color="auto"/>
        <w:bottom w:val="none" w:sz="0" w:space="0" w:color="auto"/>
        <w:right w:val="none" w:sz="0" w:space="0" w:color="auto"/>
      </w:divBdr>
    </w:div>
    <w:div w:id="875233601">
      <w:bodyDiv w:val="1"/>
      <w:marLeft w:val="0"/>
      <w:marRight w:val="0"/>
      <w:marTop w:val="0"/>
      <w:marBottom w:val="0"/>
      <w:divBdr>
        <w:top w:val="none" w:sz="0" w:space="0" w:color="auto"/>
        <w:left w:val="none" w:sz="0" w:space="0" w:color="auto"/>
        <w:bottom w:val="none" w:sz="0" w:space="0" w:color="auto"/>
        <w:right w:val="none" w:sz="0" w:space="0" w:color="auto"/>
      </w:divBdr>
      <w:divsChild>
        <w:div w:id="1389647953">
          <w:marLeft w:val="0"/>
          <w:marRight w:val="0"/>
          <w:marTop w:val="0"/>
          <w:marBottom w:val="0"/>
          <w:divBdr>
            <w:top w:val="none" w:sz="0" w:space="0" w:color="auto"/>
            <w:left w:val="none" w:sz="0" w:space="0" w:color="auto"/>
            <w:bottom w:val="none" w:sz="0" w:space="0" w:color="auto"/>
            <w:right w:val="none" w:sz="0" w:space="0" w:color="auto"/>
          </w:divBdr>
          <w:divsChild>
            <w:div w:id="1196962725">
              <w:marLeft w:val="0"/>
              <w:marRight w:val="0"/>
              <w:marTop w:val="0"/>
              <w:marBottom w:val="0"/>
              <w:divBdr>
                <w:top w:val="none" w:sz="0" w:space="0" w:color="auto"/>
                <w:left w:val="none" w:sz="0" w:space="0" w:color="auto"/>
                <w:bottom w:val="none" w:sz="0" w:space="0" w:color="auto"/>
                <w:right w:val="none" w:sz="0" w:space="0" w:color="auto"/>
              </w:divBdr>
              <w:divsChild>
                <w:div w:id="1176726230">
                  <w:marLeft w:val="0"/>
                  <w:marRight w:val="0"/>
                  <w:marTop w:val="0"/>
                  <w:marBottom w:val="0"/>
                  <w:divBdr>
                    <w:top w:val="none" w:sz="0" w:space="0" w:color="auto"/>
                    <w:left w:val="none" w:sz="0" w:space="0" w:color="auto"/>
                    <w:bottom w:val="none" w:sz="0" w:space="0" w:color="auto"/>
                    <w:right w:val="none" w:sz="0" w:space="0" w:color="auto"/>
                  </w:divBdr>
                  <w:divsChild>
                    <w:div w:id="25509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025380">
              <w:marLeft w:val="0"/>
              <w:marRight w:val="0"/>
              <w:marTop w:val="0"/>
              <w:marBottom w:val="0"/>
              <w:divBdr>
                <w:top w:val="none" w:sz="0" w:space="0" w:color="auto"/>
                <w:left w:val="none" w:sz="0" w:space="0" w:color="auto"/>
                <w:bottom w:val="none" w:sz="0" w:space="0" w:color="auto"/>
                <w:right w:val="none" w:sz="0" w:space="0" w:color="auto"/>
              </w:divBdr>
              <w:divsChild>
                <w:div w:id="1209607999">
                  <w:marLeft w:val="0"/>
                  <w:marRight w:val="0"/>
                  <w:marTop w:val="0"/>
                  <w:marBottom w:val="0"/>
                  <w:divBdr>
                    <w:top w:val="none" w:sz="0" w:space="0" w:color="auto"/>
                    <w:left w:val="none" w:sz="0" w:space="0" w:color="auto"/>
                    <w:bottom w:val="none" w:sz="0" w:space="0" w:color="auto"/>
                    <w:right w:val="none" w:sz="0" w:space="0" w:color="auto"/>
                  </w:divBdr>
                  <w:divsChild>
                    <w:div w:id="171993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025420">
              <w:marLeft w:val="0"/>
              <w:marRight w:val="0"/>
              <w:marTop w:val="0"/>
              <w:marBottom w:val="0"/>
              <w:divBdr>
                <w:top w:val="none" w:sz="0" w:space="0" w:color="auto"/>
                <w:left w:val="none" w:sz="0" w:space="0" w:color="auto"/>
                <w:bottom w:val="none" w:sz="0" w:space="0" w:color="auto"/>
                <w:right w:val="none" w:sz="0" w:space="0" w:color="auto"/>
              </w:divBdr>
              <w:divsChild>
                <w:div w:id="800881002">
                  <w:marLeft w:val="0"/>
                  <w:marRight w:val="0"/>
                  <w:marTop w:val="0"/>
                  <w:marBottom w:val="0"/>
                  <w:divBdr>
                    <w:top w:val="none" w:sz="0" w:space="0" w:color="auto"/>
                    <w:left w:val="none" w:sz="0" w:space="0" w:color="auto"/>
                    <w:bottom w:val="none" w:sz="0" w:space="0" w:color="auto"/>
                    <w:right w:val="none" w:sz="0" w:space="0" w:color="auto"/>
                  </w:divBdr>
                  <w:divsChild>
                    <w:div w:id="175219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217135">
              <w:marLeft w:val="0"/>
              <w:marRight w:val="0"/>
              <w:marTop w:val="0"/>
              <w:marBottom w:val="0"/>
              <w:divBdr>
                <w:top w:val="none" w:sz="0" w:space="0" w:color="auto"/>
                <w:left w:val="none" w:sz="0" w:space="0" w:color="auto"/>
                <w:bottom w:val="none" w:sz="0" w:space="0" w:color="auto"/>
                <w:right w:val="none" w:sz="0" w:space="0" w:color="auto"/>
              </w:divBdr>
              <w:divsChild>
                <w:div w:id="395014573">
                  <w:marLeft w:val="0"/>
                  <w:marRight w:val="0"/>
                  <w:marTop w:val="0"/>
                  <w:marBottom w:val="0"/>
                  <w:divBdr>
                    <w:top w:val="none" w:sz="0" w:space="0" w:color="auto"/>
                    <w:left w:val="none" w:sz="0" w:space="0" w:color="auto"/>
                    <w:bottom w:val="none" w:sz="0" w:space="0" w:color="auto"/>
                    <w:right w:val="none" w:sz="0" w:space="0" w:color="auto"/>
                  </w:divBdr>
                  <w:divsChild>
                    <w:div w:id="22579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153538">
              <w:marLeft w:val="0"/>
              <w:marRight w:val="0"/>
              <w:marTop w:val="0"/>
              <w:marBottom w:val="0"/>
              <w:divBdr>
                <w:top w:val="none" w:sz="0" w:space="0" w:color="auto"/>
                <w:left w:val="none" w:sz="0" w:space="0" w:color="auto"/>
                <w:bottom w:val="none" w:sz="0" w:space="0" w:color="auto"/>
                <w:right w:val="none" w:sz="0" w:space="0" w:color="auto"/>
              </w:divBdr>
              <w:divsChild>
                <w:div w:id="2082218125">
                  <w:marLeft w:val="0"/>
                  <w:marRight w:val="0"/>
                  <w:marTop w:val="0"/>
                  <w:marBottom w:val="0"/>
                  <w:divBdr>
                    <w:top w:val="none" w:sz="0" w:space="0" w:color="auto"/>
                    <w:left w:val="none" w:sz="0" w:space="0" w:color="auto"/>
                    <w:bottom w:val="none" w:sz="0" w:space="0" w:color="auto"/>
                    <w:right w:val="none" w:sz="0" w:space="0" w:color="auto"/>
                  </w:divBdr>
                  <w:divsChild>
                    <w:div w:id="1922711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586299">
              <w:marLeft w:val="0"/>
              <w:marRight w:val="0"/>
              <w:marTop w:val="0"/>
              <w:marBottom w:val="0"/>
              <w:divBdr>
                <w:top w:val="none" w:sz="0" w:space="0" w:color="auto"/>
                <w:left w:val="none" w:sz="0" w:space="0" w:color="auto"/>
                <w:bottom w:val="none" w:sz="0" w:space="0" w:color="auto"/>
                <w:right w:val="none" w:sz="0" w:space="0" w:color="auto"/>
              </w:divBdr>
              <w:divsChild>
                <w:div w:id="1947158395">
                  <w:marLeft w:val="0"/>
                  <w:marRight w:val="0"/>
                  <w:marTop w:val="0"/>
                  <w:marBottom w:val="0"/>
                  <w:divBdr>
                    <w:top w:val="none" w:sz="0" w:space="0" w:color="auto"/>
                    <w:left w:val="none" w:sz="0" w:space="0" w:color="auto"/>
                    <w:bottom w:val="none" w:sz="0" w:space="0" w:color="auto"/>
                    <w:right w:val="none" w:sz="0" w:space="0" w:color="auto"/>
                  </w:divBdr>
                  <w:divsChild>
                    <w:div w:id="213092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552344">
              <w:marLeft w:val="0"/>
              <w:marRight w:val="0"/>
              <w:marTop w:val="0"/>
              <w:marBottom w:val="0"/>
              <w:divBdr>
                <w:top w:val="none" w:sz="0" w:space="0" w:color="auto"/>
                <w:left w:val="none" w:sz="0" w:space="0" w:color="auto"/>
                <w:bottom w:val="none" w:sz="0" w:space="0" w:color="auto"/>
                <w:right w:val="none" w:sz="0" w:space="0" w:color="auto"/>
              </w:divBdr>
              <w:divsChild>
                <w:div w:id="1993093285">
                  <w:marLeft w:val="0"/>
                  <w:marRight w:val="0"/>
                  <w:marTop w:val="0"/>
                  <w:marBottom w:val="0"/>
                  <w:divBdr>
                    <w:top w:val="none" w:sz="0" w:space="0" w:color="auto"/>
                    <w:left w:val="none" w:sz="0" w:space="0" w:color="auto"/>
                    <w:bottom w:val="none" w:sz="0" w:space="0" w:color="auto"/>
                    <w:right w:val="none" w:sz="0" w:space="0" w:color="auto"/>
                  </w:divBdr>
                  <w:divsChild>
                    <w:div w:id="812917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35631">
              <w:marLeft w:val="0"/>
              <w:marRight w:val="0"/>
              <w:marTop w:val="0"/>
              <w:marBottom w:val="0"/>
              <w:divBdr>
                <w:top w:val="none" w:sz="0" w:space="0" w:color="auto"/>
                <w:left w:val="none" w:sz="0" w:space="0" w:color="auto"/>
                <w:bottom w:val="none" w:sz="0" w:space="0" w:color="auto"/>
                <w:right w:val="none" w:sz="0" w:space="0" w:color="auto"/>
              </w:divBdr>
              <w:divsChild>
                <w:div w:id="1594970332">
                  <w:marLeft w:val="0"/>
                  <w:marRight w:val="0"/>
                  <w:marTop w:val="0"/>
                  <w:marBottom w:val="0"/>
                  <w:divBdr>
                    <w:top w:val="none" w:sz="0" w:space="0" w:color="auto"/>
                    <w:left w:val="none" w:sz="0" w:space="0" w:color="auto"/>
                    <w:bottom w:val="none" w:sz="0" w:space="0" w:color="auto"/>
                    <w:right w:val="none" w:sz="0" w:space="0" w:color="auto"/>
                  </w:divBdr>
                  <w:divsChild>
                    <w:div w:id="33384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999924">
              <w:marLeft w:val="0"/>
              <w:marRight w:val="0"/>
              <w:marTop w:val="0"/>
              <w:marBottom w:val="0"/>
              <w:divBdr>
                <w:top w:val="none" w:sz="0" w:space="0" w:color="auto"/>
                <w:left w:val="none" w:sz="0" w:space="0" w:color="auto"/>
                <w:bottom w:val="none" w:sz="0" w:space="0" w:color="auto"/>
                <w:right w:val="none" w:sz="0" w:space="0" w:color="auto"/>
              </w:divBdr>
              <w:divsChild>
                <w:div w:id="960066816">
                  <w:marLeft w:val="0"/>
                  <w:marRight w:val="0"/>
                  <w:marTop w:val="0"/>
                  <w:marBottom w:val="0"/>
                  <w:divBdr>
                    <w:top w:val="none" w:sz="0" w:space="0" w:color="auto"/>
                    <w:left w:val="none" w:sz="0" w:space="0" w:color="auto"/>
                    <w:bottom w:val="none" w:sz="0" w:space="0" w:color="auto"/>
                    <w:right w:val="none" w:sz="0" w:space="0" w:color="auto"/>
                  </w:divBdr>
                  <w:divsChild>
                    <w:div w:id="1370648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466869">
              <w:marLeft w:val="0"/>
              <w:marRight w:val="0"/>
              <w:marTop w:val="0"/>
              <w:marBottom w:val="0"/>
              <w:divBdr>
                <w:top w:val="none" w:sz="0" w:space="0" w:color="auto"/>
                <w:left w:val="none" w:sz="0" w:space="0" w:color="auto"/>
                <w:bottom w:val="none" w:sz="0" w:space="0" w:color="auto"/>
                <w:right w:val="none" w:sz="0" w:space="0" w:color="auto"/>
              </w:divBdr>
              <w:divsChild>
                <w:div w:id="1231771802">
                  <w:marLeft w:val="0"/>
                  <w:marRight w:val="0"/>
                  <w:marTop w:val="0"/>
                  <w:marBottom w:val="0"/>
                  <w:divBdr>
                    <w:top w:val="none" w:sz="0" w:space="0" w:color="auto"/>
                    <w:left w:val="none" w:sz="0" w:space="0" w:color="auto"/>
                    <w:bottom w:val="none" w:sz="0" w:space="0" w:color="auto"/>
                    <w:right w:val="none" w:sz="0" w:space="0" w:color="auto"/>
                  </w:divBdr>
                  <w:divsChild>
                    <w:div w:id="91928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679624">
              <w:marLeft w:val="0"/>
              <w:marRight w:val="0"/>
              <w:marTop w:val="0"/>
              <w:marBottom w:val="0"/>
              <w:divBdr>
                <w:top w:val="none" w:sz="0" w:space="0" w:color="auto"/>
                <w:left w:val="none" w:sz="0" w:space="0" w:color="auto"/>
                <w:bottom w:val="none" w:sz="0" w:space="0" w:color="auto"/>
                <w:right w:val="none" w:sz="0" w:space="0" w:color="auto"/>
              </w:divBdr>
              <w:divsChild>
                <w:div w:id="1721518787">
                  <w:marLeft w:val="0"/>
                  <w:marRight w:val="0"/>
                  <w:marTop w:val="0"/>
                  <w:marBottom w:val="0"/>
                  <w:divBdr>
                    <w:top w:val="none" w:sz="0" w:space="0" w:color="auto"/>
                    <w:left w:val="none" w:sz="0" w:space="0" w:color="auto"/>
                    <w:bottom w:val="none" w:sz="0" w:space="0" w:color="auto"/>
                    <w:right w:val="none" w:sz="0" w:space="0" w:color="auto"/>
                  </w:divBdr>
                  <w:divsChild>
                    <w:div w:id="1100099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596635">
              <w:marLeft w:val="0"/>
              <w:marRight w:val="0"/>
              <w:marTop w:val="0"/>
              <w:marBottom w:val="0"/>
              <w:divBdr>
                <w:top w:val="none" w:sz="0" w:space="0" w:color="auto"/>
                <w:left w:val="none" w:sz="0" w:space="0" w:color="auto"/>
                <w:bottom w:val="none" w:sz="0" w:space="0" w:color="auto"/>
                <w:right w:val="none" w:sz="0" w:space="0" w:color="auto"/>
              </w:divBdr>
              <w:divsChild>
                <w:div w:id="1403941967">
                  <w:marLeft w:val="0"/>
                  <w:marRight w:val="0"/>
                  <w:marTop w:val="0"/>
                  <w:marBottom w:val="0"/>
                  <w:divBdr>
                    <w:top w:val="none" w:sz="0" w:space="0" w:color="auto"/>
                    <w:left w:val="none" w:sz="0" w:space="0" w:color="auto"/>
                    <w:bottom w:val="none" w:sz="0" w:space="0" w:color="auto"/>
                    <w:right w:val="none" w:sz="0" w:space="0" w:color="auto"/>
                  </w:divBdr>
                  <w:divsChild>
                    <w:div w:id="449477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790534">
              <w:marLeft w:val="0"/>
              <w:marRight w:val="0"/>
              <w:marTop w:val="0"/>
              <w:marBottom w:val="0"/>
              <w:divBdr>
                <w:top w:val="none" w:sz="0" w:space="0" w:color="auto"/>
                <w:left w:val="none" w:sz="0" w:space="0" w:color="auto"/>
                <w:bottom w:val="none" w:sz="0" w:space="0" w:color="auto"/>
                <w:right w:val="none" w:sz="0" w:space="0" w:color="auto"/>
              </w:divBdr>
              <w:divsChild>
                <w:div w:id="579481492">
                  <w:marLeft w:val="0"/>
                  <w:marRight w:val="0"/>
                  <w:marTop w:val="0"/>
                  <w:marBottom w:val="0"/>
                  <w:divBdr>
                    <w:top w:val="none" w:sz="0" w:space="0" w:color="auto"/>
                    <w:left w:val="none" w:sz="0" w:space="0" w:color="auto"/>
                    <w:bottom w:val="none" w:sz="0" w:space="0" w:color="auto"/>
                    <w:right w:val="none" w:sz="0" w:space="0" w:color="auto"/>
                  </w:divBdr>
                  <w:divsChild>
                    <w:div w:id="98173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073257">
              <w:marLeft w:val="0"/>
              <w:marRight w:val="0"/>
              <w:marTop w:val="0"/>
              <w:marBottom w:val="0"/>
              <w:divBdr>
                <w:top w:val="none" w:sz="0" w:space="0" w:color="auto"/>
                <w:left w:val="none" w:sz="0" w:space="0" w:color="auto"/>
                <w:bottom w:val="none" w:sz="0" w:space="0" w:color="auto"/>
                <w:right w:val="none" w:sz="0" w:space="0" w:color="auto"/>
              </w:divBdr>
              <w:divsChild>
                <w:div w:id="977228898">
                  <w:marLeft w:val="0"/>
                  <w:marRight w:val="0"/>
                  <w:marTop w:val="0"/>
                  <w:marBottom w:val="0"/>
                  <w:divBdr>
                    <w:top w:val="none" w:sz="0" w:space="0" w:color="auto"/>
                    <w:left w:val="none" w:sz="0" w:space="0" w:color="auto"/>
                    <w:bottom w:val="none" w:sz="0" w:space="0" w:color="auto"/>
                    <w:right w:val="none" w:sz="0" w:space="0" w:color="auto"/>
                  </w:divBdr>
                  <w:divsChild>
                    <w:div w:id="678579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84373">
              <w:marLeft w:val="0"/>
              <w:marRight w:val="0"/>
              <w:marTop w:val="0"/>
              <w:marBottom w:val="0"/>
              <w:divBdr>
                <w:top w:val="none" w:sz="0" w:space="0" w:color="auto"/>
                <w:left w:val="none" w:sz="0" w:space="0" w:color="auto"/>
                <w:bottom w:val="none" w:sz="0" w:space="0" w:color="auto"/>
                <w:right w:val="none" w:sz="0" w:space="0" w:color="auto"/>
              </w:divBdr>
              <w:divsChild>
                <w:div w:id="1405908289">
                  <w:marLeft w:val="0"/>
                  <w:marRight w:val="0"/>
                  <w:marTop w:val="0"/>
                  <w:marBottom w:val="0"/>
                  <w:divBdr>
                    <w:top w:val="none" w:sz="0" w:space="0" w:color="auto"/>
                    <w:left w:val="none" w:sz="0" w:space="0" w:color="auto"/>
                    <w:bottom w:val="none" w:sz="0" w:space="0" w:color="auto"/>
                    <w:right w:val="none" w:sz="0" w:space="0" w:color="auto"/>
                  </w:divBdr>
                  <w:divsChild>
                    <w:div w:id="1535771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186935">
              <w:marLeft w:val="0"/>
              <w:marRight w:val="0"/>
              <w:marTop w:val="0"/>
              <w:marBottom w:val="0"/>
              <w:divBdr>
                <w:top w:val="none" w:sz="0" w:space="0" w:color="auto"/>
                <w:left w:val="none" w:sz="0" w:space="0" w:color="auto"/>
                <w:bottom w:val="none" w:sz="0" w:space="0" w:color="auto"/>
                <w:right w:val="none" w:sz="0" w:space="0" w:color="auto"/>
              </w:divBdr>
              <w:divsChild>
                <w:div w:id="1199077253">
                  <w:marLeft w:val="0"/>
                  <w:marRight w:val="0"/>
                  <w:marTop w:val="0"/>
                  <w:marBottom w:val="0"/>
                  <w:divBdr>
                    <w:top w:val="none" w:sz="0" w:space="0" w:color="auto"/>
                    <w:left w:val="none" w:sz="0" w:space="0" w:color="auto"/>
                    <w:bottom w:val="none" w:sz="0" w:space="0" w:color="auto"/>
                    <w:right w:val="none" w:sz="0" w:space="0" w:color="auto"/>
                  </w:divBdr>
                  <w:divsChild>
                    <w:div w:id="2132626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069773">
              <w:marLeft w:val="0"/>
              <w:marRight w:val="0"/>
              <w:marTop w:val="0"/>
              <w:marBottom w:val="0"/>
              <w:divBdr>
                <w:top w:val="none" w:sz="0" w:space="0" w:color="auto"/>
                <w:left w:val="none" w:sz="0" w:space="0" w:color="auto"/>
                <w:bottom w:val="none" w:sz="0" w:space="0" w:color="auto"/>
                <w:right w:val="none" w:sz="0" w:space="0" w:color="auto"/>
              </w:divBdr>
              <w:divsChild>
                <w:div w:id="1161121029">
                  <w:marLeft w:val="0"/>
                  <w:marRight w:val="0"/>
                  <w:marTop w:val="0"/>
                  <w:marBottom w:val="0"/>
                  <w:divBdr>
                    <w:top w:val="none" w:sz="0" w:space="0" w:color="auto"/>
                    <w:left w:val="none" w:sz="0" w:space="0" w:color="auto"/>
                    <w:bottom w:val="none" w:sz="0" w:space="0" w:color="auto"/>
                    <w:right w:val="none" w:sz="0" w:space="0" w:color="auto"/>
                  </w:divBdr>
                  <w:divsChild>
                    <w:div w:id="159805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874698">
              <w:marLeft w:val="0"/>
              <w:marRight w:val="0"/>
              <w:marTop w:val="0"/>
              <w:marBottom w:val="0"/>
              <w:divBdr>
                <w:top w:val="none" w:sz="0" w:space="0" w:color="auto"/>
                <w:left w:val="none" w:sz="0" w:space="0" w:color="auto"/>
                <w:bottom w:val="none" w:sz="0" w:space="0" w:color="auto"/>
                <w:right w:val="none" w:sz="0" w:space="0" w:color="auto"/>
              </w:divBdr>
              <w:divsChild>
                <w:div w:id="2044672678">
                  <w:marLeft w:val="0"/>
                  <w:marRight w:val="0"/>
                  <w:marTop w:val="0"/>
                  <w:marBottom w:val="0"/>
                  <w:divBdr>
                    <w:top w:val="none" w:sz="0" w:space="0" w:color="auto"/>
                    <w:left w:val="none" w:sz="0" w:space="0" w:color="auto"/>
                    <w:bottom w:val="none" w:sz="0" w:space="0" w:color="auto"/>
                    <w:right w:val="none" w:sz="0" w:space="0" w:color="auto"/>
                  </w:divBdr>
                  <w:divsChild>
                    <w:div w:id="2147235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395956">
              <w:marLeft w:val="0"/>
              <w:marRight w:val="0"/>
              <w:marTop w:val="0"/>
              <w:marBottom w:val="0"/>
              <w:divBdr>
                <w:top w:val="none" w:sz="0" w:space="0" w:color="auto"/>
                <w:left w:val="none" w:sz="0" w:space="0" w:color="auto"/>
                <w:bottom w:val="none" w:sz="0" w:space="0" w:color="auto"/>
                <w:right w:val="none" w:sz="0" w:space="0" w:color="auto"/>
              </w:divBdr>
              <w:divsChild>
                <w:div w:id="483817090">
                  <w:marLeft w:val="0"/>
                  <w:marRight w:val="0"/>
                  <w:marTop w:val="0"/>
                  <w:marBottom w:val="0"/>
                  <w:divBdr>
                    <w:top w:val="none" w:sz="0" w:space="0" w:color="auto"/>
                    <w:left w:val="none" w:sz="0" w:space="0" w:color="auto"/>
                    <w:bottom w:val="none" w:sz="0" w:space="0" w:color="auto"/>
                    <w:right w:val="none" w:sz="0" w:space="0" w:color="auto"/>
                  </w:divBdr>
                  <w:divsChild>
                    <w:div w:id="720716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666780">
              <w:marLeft w:val="0"/>
              <w:marRight w:val="0"/>
              <w:marTop w:val="0"/>
              <w:marBottom w:val="0"/>
              <w:divBdr>
                <w:top w:val="none" w:sz="0" w:space="0" w:color="auto"/>
                <w:left w:val="none" w:sz="0" w:space="0" w:color="auto"/>
                <w:bottom w:val="none" w:sz="0" w:space="0" w:color="auto"/>
                <w:right w:val="none" w:sz="0" w:space="0" w:color="auto"/>
              </w:divBdr>
              <w:divsChild>
                <w:div w:id="1645429923">
                  <w:marLeft w:val="0"/>
                  <w:marRight w:val="0"/>
                  <w:marTop w:val="0"/>
                  <w:marBottom w:val="0"/>
                  <w:divBdr>
                    <w:top w:val="none" w:sz="0" w:space="0" w:color="auto"/>
                    <w:left w:val="none" w:sz="0" w:space="0" w:color="auto"/>
                    <w:bottom w:val="none" w:sz="0" w:space="0" w:color="auto"/>
                    <w:right w:val="none" w:sz="0" w:space="0" w:color="auto"/>
                  </w:divBdr>
                  <w:divsChild>
                    <w:div w:id="1403328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857429">
              <w:marLeft w:val="0"/>
              <w:marRight w:val="0"/>
              <w:marTop w:val="0"/>
              <w:marBottom w:val="0"/>
              <w:divBdr>
                <w:top w:val="none" w:sz="0" w:space="0" w:color="auto"/>
                <w:left w:val="none" w:sz="0" w:space="0" w:color="auto"/>
                <w:bottom w:val="none" w:sz="0" w:space="0" w:color="auto"/>
                <w:right w:val="none" w:sz="0" w:space="0" w:color="auto"/>
              </w:divBdr>
              <w:divsChild>
                <w:div w:id="1426725996">
                  <w:marLeft w:val="0"/>
                  <w:marRight w:val="0"/>
                  <w:marTop w:val="0"/>
                  <w:marBottom w:val="0"/>
                  <w:divBdr>
                    <w:top w:val="none" w:sz="0" w:space="0" w:color="auto"/>
                    <w:left w:val="none" w:sz="0" w:space="0" w:color="auto"/>
                    <w:bottom w:val="none" w:sz="0" w:space="0" w:color="auto"/>
                    <w:right w:val="none" w:sz="0" w:space="0" w:color="auto"/>
                  </w:divBdr>
                  <w:divsChild>
                    <w:div w:id="1451901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317097">
              <w:marLeft w:val="0"/>
              <w:marRight w:val="0"/>
              <w:marTop w:val="0"/>
              <w:marBottom w:val="0"/>
              <w:divBdr>
                <w:top w:val="none" w:sz="0" w:space="0" w:color="auto"/>
                <w:left w:val="none" w:sz="0" w:space="0" w:color="auto"/>
                <w:bottom w:val="none" w:sz="0" w:space="0" w:color="auto"/>
                <w:right w:val="none" w:sz="0" w:space="0" w:color="auto"/>
              </w:divBdr>
              <w:divsChild>
                <w:div w:id="1944411853">
                  <w:marLeft w:val="0"/>
                  <w:marRight w:val="0"/>
                  <w:marTop w:val="0"/>
                  <w:marBottom w:val="0"/>
                  <w:divBdr>
                    <w:top w:val="none" w:sz="0" w:space="0" w:color="auto"/>
                    <w:left w:val="none" w:sz="0" w:space="0" w:color="auto"/>
                    <w:bottom w:val="none" w:sz="0" w:space="0" w:color="auto"/>
                    <w:right w:val="none" w:sz="0" w:space="0" w:color="auto"/>
                  </w:divBdr>
                  <w:divsChild>
                    <w:div w:id="1105224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818082">
              <w:marLeft w:val="0"/>
              <w:marRight w:val="0"/>
              <w:marTop w:val="0"/>
              <w:marBottom w:val="0"/>
              <w:divBdr>
                <w:top w:val="none" w:sz="0" w:space="0" w:color="auto"/>
                <w:left w:val="none" w:sz="0" w:space="0" w:color="auto"/>
                <w:bottom w:val="none" w:sz="0" w:space="0" w:color="auto"/>
                <w:right w:val="none" w:sz="0" w:space="0" w:color="auto"/>
              </w:divBdr>
              <w:divsChild>
                <w:div w:id="1492409322">
                  <w:marLeft w:val="0"/>
                  <w:marRight w:val="0"/>
                  <w:marTop w:val="0"/>
                  <w:marBottom w:val="0"/>
                  <w:divBdr>
                    <w:top w:val="none" w:sz="0" w:space="0" w:color="auto"/>
                    <w:left w:val="none" w:sz="0" w:space="0" w:color="auto"/>
                    <w:bottom w:val="none" w:sz="0" w:space="0" w:color="auto"/>
                    <w:right w:val="none" w:sz="0" w:space="0" w:color="auto"/>
                  </w:divBdr>
                  <w:divsChild>
                    <w:div w:id="1262569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587718">
              <w:marLeft w:val="0"/>
              <w:marRight w:val="0"/>
              <w:marTop w:val="0"/>
              <w:marBottom w:val="0"/>
              <w:divBdr>
                <w:top w:val="none" w:sz="0" w:space="0" w:color="auto"/>
                <w:left w:val="none" w:sz="0" w:space="0" w:color="auto"/>
                <w:bottom w:val="none" w:sz="0" w:space="0" w:color="auto"/>
                <w:right w:val="none" w:sz="0" w:space="0" w:color="auto"/>
              </w:divBdr>
              <w:divsChild>
                <w:div w:id="101460152">
                  <w:marLeft w:val="0"/>
                  <w:marRight w:val="0"/>
                  <w:marTop w:val="0"/>
                  <w:marBottom w:val="0"/>
                  <w:divBdr>
                    <w:top w:val="none" w:sz="0" w:space="0" w:color="auto"/>
                    <w:left w:val="none" w:sz="0" w:space="0" w:color="auto"/>
                    <w:bottom w:val="none" w:sz="0" w:space="0" w:color="auto"/>
                    <w:right w:val="none" w:sz="0" w:space="0" w:color="auto"/>
                  </w:divBdr>
                  <w:divsChild>
                    <w:div w:id="183968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725735">
              <w:marLeft w:val="0"/>
              <w:marRight w:val="0"/>
              <w:marTop w:val="0"/>
              <w:marBottom w:val="0"/>
              <w:divBdr>
                <w:top w:val="none" w:sz="0" w:space="0" w:color="auto"/>
                <w:left w:val="none" w:sz="0" w:space="0" w:color="auto"/>
                <w:bottom w:val="none" w:sz="0" w:space="0" w:color="auto"/>
                <w:right w:val="none" w:sz="0" w:space="0" w:color="auto"/>
              </w:divBdr>
              <w:divsChild>
                <w:div w:id="1647660409">
                  <w:marLeft w:val="0"/>
                  <w:marRight w:val="0"/>
                  <w:marTop w:val="0"/>
                  <w:marBottom w:val="0"/>
                  <w:divBdr>
                    <w:top w:val="none" w:sz="0" w:space="0" w:color="auto"/>
                    <w:left w:val="none" w:sz="0" w:space="0" w:color="auto"/>
                    <w:bottom w:val="none" w:sz="0" w:space="0" w:color="auto"/>
                    <w:right w:val="none" w:sz="0" w:space="0" w:color="auto"/>
                  </w:divBdr>
                  <w:divsChild>
                    <w:div w:id="73296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224809">
              <w:marLeft w:val="0"/>
              <w:marRight w:val="0"/>
              <w:marTop w:val="0"/>
              <w:marBottom w:val="0"/>
              <w:divBdr>
                <w:top w:val="none" w:sz="0" w:space="0" w:color="auto"/>
                <w:left w:val="none" w:sz="0" w:space="0" w:color="auto"/>
                <w:bottom w:val="none" w:sz="0" w:space="0" w:color="auto"/>
                <w:right w:val="none" w:sz="0" w:space="0" w:color="auto"/>
              </w:divBdr>
              <w:divsChild>
                <w:div w:id="2102950492">
                  <w:marLeft w:val="0"/>
                  <w:marRight w:val="0"/>
                  <w:marTop w:val="0"/>
                  <w:marBottom w:val="0"/>
                  <w:divBdr>
                    <w:top w:val="none" w:sz="0" w:space="0" w:color="auto"/>
                    <w:left w:val="none" w:sz="0" w:space="0" w:color="auto"/>
                    <w:bottom w:val="none" w:sz="0" w:space="0" w:color="auto"/>
                    <w:right w:val="none" w:sz="0" w:space="0" w:color="auto"/>
                  </w:divBdr>
                  <w:divsChild>
                    <w:div w:id="2048679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492529">
              <w:marLeft w:val="0"/>
              <w:marRight w:val="0"/>
              <w:marTop w:val="0"/>
              <w:marBottom w:val="0"/>
              <w:divBdr>
                <w:top w:val="none" w:sz="0" w:space="0" w:color="auto"/>
                <w:left w:val="none" w:sz="0" w:space="0" w:color="auto"/>
                <w:bottom w:val="none" w:sz="0" w:space="0" w:color="auto"/>
                <w:right w:val="none" w:sz="0" w:space="0" w:color="auto"/>
              </w:divBdr>
              <w:divsChild>
                <w:div w:id="1853101610">
                  <w:marLeft w:val="0"/>
                  <w:marRight w:val="0"/>
                  <w:marTop w:val="0"/>
                  <w:marBottom w:val="0"/>
                  <w:divBdr>
                    <w:top w:val="none" w:sz="0" w:space="0" w:color="auto"/>
                    <w:left w:val="none" w:sz="0" w:space="0" w:color="auto"/>
                    <w:bottom w:val="none" w:sz="0" w:space="0" w:color="auto"/>
                    <w:right w:val="none" w:sz="0" w:space="0" w:color="auto"/>
                  </w:divBdr>
                  <w:divsChild>
                    <w:div w:id="185679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504910">
              <w:marLeft w:val="0"/>
              <w:marRight w:val="0"/>
              <w:marTop w:val="0"/>
              <w:marBottom w:val="0"/>
              <w:divBdr>
                <w:top w:val="none" w:sz="0" w:space="0" w:color="auto"/>
                <w:left w:val="none" w:sz="0" w:space="0" w:color="auto"/>
                <w:bottom w:val="none" w:sz="0" w:space="0" w:color="auto"/>
                <w:right w:val="none" w:sz="0" w:space="0" w:color="auto"/>
              </w:divBdr>
              <w:divsChild>
                <w:div w:id="953171180">
                  <w:marLeft w:val="0"/>
                  <w:marRight w:val="0"/>
                  <w:marTop w:val="0"/>
                  <w:marBottom w:val="0"/>
                  <w:divBdr>
                    <w:top w:val="none" w:sz="0" w:space="0" w:color="auto"/>
                    <w:left w:val="none" w:sz="0" w:space="0" w:color="auto"/>
                    <w:bottom w:val="none" w:sz="0" w:space="0" w:color="auto"/>
                    <w:right w:val="none" w:sz="0" w:space="0" w:color="auto"/>
                  </w:divBdr>
                  <w:divsChild>
                    <w:div w:id="153402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332967">
              <w:marLeft w:val="0"/>
              <w:marRight w:val="0"/>
              <w:marTop w:val="0"/>
              <w:marBottom w:val="0"/>
              <w:divBdr>
                <w:top w:val="none" w:sz="0" w:space="0" w:color="auto"/>
                <w:left w:val="none" w:sz="0" w:space="0" w:color="auto"/>
                <w:bottom w:val="none" w:sz="0" w:space="0" w:color="auto"/>
                <w:right w:val="none" w:sz="0" w:space="0" w:color="auto"/>
              </w:divBdr>
              <w:divsChild>
                <w:div w:id="134177213">
                  <w:marLeft w:val="0"/>
                  <w:marRight w:val="0"/>
                  <w:marTop w:val="0"/>
                  <w:marBottom w:val="0"/>
                  <w:divBdr>
                    <w:top w:val="none" w:sz="0" w:space="0" w:color="auto"/>
                    <w:left w:val="none" w:sz="0" w:space="0" w:color="auto"/>
                    <w:bottom w:val="none" w:sz="0" w:space="0" w:color="auto"/>
                    <w:right w:val="none" w:sz="0" w:space="0" w:color="auto"/>
                  </w:divBdr>
                  <w:divsChild>
                    <w:div w:id="314989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123112">
              <w:marLeft w:val="0"/>
              <w:marRight w:val="0"/>
              <w:marTop w:val="0"/>
              <w:marBottom w:val="0"/>
              <w:divBdr>
                <w:top w:val="none" w:sz="0" w:space="0" w:color="auto"/>
                <w:left w:val="none" w:sz="0" w:space="0" w:color="auto"/>
                <w:bottom w:val="none" w:sz="0" w:space="0" w:color="auto"/>
                <w:right w:val="none" w:sz="0" w:space="0" w:color="auto"/>
              </w:divBdr>
              <w:divsChild>
                <w:div w:id="1797335903">
                  <w:marLeft w:val="0"/>
                  <w:marRight w:val="0"/>
                  <w:marTop w:val="0"/>
                  <w:marBottom w:val="0"/>
                  <w:divBdr>
                    <w:top w:val="none" w:sz="0" w:space="0" w:color="auto"/>
                    <w:left w:val="none" w:sz="0" w:space="0" w:color="auto"/>
                    <w:bottom w:val="none" w:sz="0" w:space="0" w:color="auto"/>
                    <w:right w:val="none" w:sz="0" w:space="0" w:color="auto"/>
                  </w:divBdr>
                  <w:divsChild>
                    <w:div w:id="109386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029047">
              <w:marLeft w:val="0"/>
              <w:marRight w:val="0"/>
              <w:marTop w:val="0"/>
              <w:marBottom w:val="0"/>
              <w:divBdr>
                <w:top w:val="none" w:sz="0" w:space="0" w:color="auto"/>
                <w:left w:val="none" w:sz="0" w:space="0" w:color="auto"/>
                <w:bottom w:val="none" w:sz="0" w:space="0" w:color="auto"/>
                <w:right w:val="none" w:sz="0" w:space="0" w:color="auto"/>
              </w:divBdr>
              <w:divsChild>
                <w:div w:id="559288965">
                  <w:marLeft w:val="0"/>
                  <w:marRight w:val="0"/>
                  <w:marTop w:val="0"/>
                  <w:marBottom w:val="0"/>
                  <w:divBdr>
                    <w:top w:val="none" w:sz="0" w:space="0" w:color="auto"/>
                    <w:left w:val="none" w:sz="0" w:space="0" w:color="auto"/>
                    <w:bottom w:val="none" w:sz="0" w:space="0" w:color="auto"/>
                    <w:right w:val="none" w:sz="0" w:space="0" w:color="auto"/>
                  </w:divBdr>
                  <w:divsChild>
                    <w:div w:id="36984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995303">
              <w:marLeft w:val="0"/>
              <w:marRight w:val="0"/>
              <w:marTop w:val="0"/>
              <w:marBottom w:val="0"/>
              <w:divBdr>
                <w:top w:val="none" w:sz="0" w:space="0" w:color="auto"/>
                <w:left w:val="none" w:sz="0" w:space="0" w:color="auto"/>
                <w:bottom w:val="none" w:sz="0" w:space="0" w:color="auto"/>
                <w:right w:val="none" w:sz="0" w:space="0" w:color="auto"/>
              </w:divBdr>
              <w:divsChild>
                <w:div w:id="129710837">
                  <w:marLeft w:val="0"/>
                  <w:marRight w:val="0"/>
                  <w:marTop w:val="0"/>
                  <w:marBottom w:val="0"/>
                  <w:divBdr>
                    <w:top w:val="none" w:sz="0" w:space="0" w:color="auto"/>
                    <w:left w:val="none" w:sz="0" w:space="0" w:color="auto"/>
                    <w:bottom w:val="none" w:sz="0" w:space="0" w:color="auto"/>
                    <w:right w:val="none" w:sz="0" w:space="0" w:color="auto"/>
                  </w:divBdr>
                  <w:divsChild>
                    <w:div w:id="540869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127641">
              <w:marLeft w:val="0"/>
              <w:marRight w:val="0"/>
              <w:marTop w:val="0"/>
              <w:marBottom w:val="0"/>
              <w:divBdr>
                <w:top w:val="none" w:sz="0" w:space="0" w:color="auto"/>
                <w:left w:val="none" w:sz="0" w:space="0" w:color="auto"/>
                <w:bottom w:val="none" w:sz="0" w:space="0" w:color="auto"/>
                <w:right w:val="none" w:sz="0" w:space="0" w:color="auto"/>
              </w:divBdr>
              <w:divsChild>
                <w:div w:id="1947033569">
                  <w:marLeft w:val="0"/>
                  <w:marRight w:val="0"/>
                  <w:marTop w:val="0"/>
                  <w:marBottom w:val="0"/>
                  <w:divBdr>
                    <w:top w:val="none" w:sz="0" w:space="0" w:color="auto"/>
                    <w:left w:val="none" w:sz="0" w:space="0" w:color="auto"/>
                    <w:bottom w:val="none" w:sz="0" w:space="0" w:color="auto"/>
                    <w:right w:val="none" w:sz="0" w:space="0" w:color="auto"/>
                  </w:divBdr>
                  <w:divsChild>
                    <w:div w:id="813564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647056">
              <w:marLeft w:val="0"/>
              <w:marRight w:val="0"/>
              <w:marTop w:val="0"/>
              <w:marBottom w:val="0"/>
              <w:divBdr>
                <w:top w:val="none" w:sz="0" w:space="0" w:color="auto"/>
                <w:left w:val="none" w:sz="0" w:space="0" w:color="auto"/>
                <w:bottom w:val="none" w:sz="0" w:space="0" w:color="auto"/>
                <w:right w:val="none" w:sz="0" w:space="0" w:color="auto"/>
              </w:divBdr>
              <w:divsChild>
                <w:div w:id="2000814632">
                  <w:marLeft w:val="0"/>
                  <w:marRight w:val="0"/>
                  <w:marTop w:val="0"/>
                  <w:marBottom w:val="0"/>
                  <w:divBdr>
                    <w:top w:val="none" w:sz="0" w:space="0" w:color="auto"/>
                    <w:left w:val="none" w:sz="0" w:space="0" w:color="auto"/>
                    <w:bottom w:val="none" w:sz="0" w:space="0" w:color="auto"/>
                    <w:right w:val="none" w:sz="0" w:space="0" w:color="auto"/>
                  </w:divBdr>
                  <w:divsChild>
                    <w:div w:id="1110246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312936">
              <w:marLeft w:val="0"/>
              <w:marRight w:val="0"/>
              <w:marTop w:val="0"/>
              <w:marBottom w:val="0"/>
              <w:divBdr>
                <w:top w:val="none" w:sz="0" w:space="0" w:color="auto"/>
                <w:left w:val="none" w:sz="0" w:space="0" w:color="auto"/>
                <w:bottom w:val="none" w:sz="0" w:space="0" w:color="auto"/>
                <w:right w:val="none" w:sz="0" w:space="0" w:color="auto"/>
              </w:divBdr>
              <w:divsChild>
                <w:div w:id="1752505084">
                  <w:marLeft w:val="0"/>
                  <w:marRight w:val="0"/>
                  <w:marTop w:val="0"/>
                  <w:marBottom w:val="0"/>
                  <w:divBdr>
                    <w:top w:val="none" w:sz="0" w:space="0" w:color="auto"/>
                    <w:left w:val="none" w:sz="0" w:space="0" w:color="auto"/>
                    <w:bottom w:val="none" w:sz="0" w:space="0" w:color="auto"/>
                    <w:right w:val="none" w:sz="0" w:space="0" w:color="auto"/>
                  </w:divBdr>
                  <w:divsChild>
                    <w:div w:id="137719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501551">
              <w:marLeft w:val="0"/>
              <w:marRight w:val="0"/>
              <w:marTop w:val="0"/>
              <w:marBottom w:val="0"/>
              <w:divBdr>
                <w:top w:val="none" w:sz="0" w:space="0" w:color="auto"/>
                <w:left w:val="none" w:sz="0" w:space="0" w:color="auto"/>
                <w:bottom w:val="none" w:sz="0" w:space="0" w:color="auto"/>
                <w:right w:val="none" w:sz="0" w:space="0" w:color="auto"/>
              </w:divBdr>
              <w:divsChild>
                <w:div w:id="1062485925">
                  <w:marLeft w:val="0"/>
                  <w:marRight w:val="0"/>
                  <w:marTop w:val="0"/>
                  <w:marBottom w:val="0"/>
                  <w:divBdr>
                    <w:top w:val="none" w:sz="0" w:space="0" w:color="auto"/>
                    <w:left w:val="none" w:sz="0" w:space="0" w:color="auto"/>
                    <w:bottom w:val="none" w:sz="0" w:space="0" w:color="auto"/>
                    <w:right w:val="none" w:sz="0" w:space="0" w:color="auto"/>
                  </w:divBdr>
                  <w:divsChild>
                    <w:div w:id="20633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46195">
              <w:marLeft w:val="0"/>
              <w:marRight w:val="0"/>
              <w:marTop w:val="0"/>
              <w:marBottom w:val="0"/>
              <w:divBdr>
                <w:top w:val="none" w:sz="0" w:space="0" w:color="auto"/>
                <w:left w:val="none" w:sz="0" w:space="0" w:color="auto"/>
                <w:bottom w:val="none" w:sz="0" w:space="0" w:color="auto"/>
                <w:right w:val="none" w:sz="0" w:space="0" w:color="auto"/>
              </w:divBdr>
              <w:divsChild>
                <w:div w:id="1144932364">
                  <w:marLeft w:val="0"/>
                  <w:marRight w:val="0"/>
                  <w:marTop w:val="0"/>
                  <w:marBottom w:val="0"/>
                  <w:divBdr>
                    <w:top w:val="none" w:sz="0" w:space="0" w:color="auto"/>
                    <w:left w:val="none" w:sz="0" w:space="0" w:color="auto"/>
                    <w:bottom w:val="none" w:sz="0" w:space="0" w:color="auto"/>
                    <w:right w:val="none" w:sz="0" w:space="0" w:color="auto"/>
                  </w:divBdr>
                  <w:divsChild>
                    <w:div w:id="126965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140159">
              <w:marLeft w:val="0"/>
              <w:marRight w:val="0"/>
              <w:marTop w:val="0"/>
              <w:marBottom w:val="0"/>
              <w:divBdr>
                <w:top w:val="none" w:sz="0" w:space="0" w:color="auto"/>
                <w:left w:val="none" w:sz="0" w:space="0" w:color="auto"/>
                <w:bottom w:val="none" w:sz="0" w:space="0" w:color="auto"/>
                <w:right w:val="none" w:sz="0" w:space="0" w:color="auto"/>
              </w:divBdr>
              <w:divsChild>
                <w:div w:id="1720593866">
                  <w:marLeft w:val="0"/>
                  <w:marRight w:val="0"/>
                  <w:marTop w:val="0"/>
                  <w:marBottom w:val="0"/>
                  <w:divBdr>
                    <w:top w:val="none" w:sz="0" w:space="0" w:color="auto"/>
                    <w:left w:val="none" w:sz="0" w:space="0" w:color="auto"/>
                    <w:bottom w:val="none" w:sz="0" w:space="0" w:color="auto"/>
                    <w:right w:val="none" w:sz="0" w:space="0" w:color="auto"/>
                  </w:divBdr>
                  <w:divsChild>
                    <w:div w:id="205156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249218">
      <w:bodyDiv w:val="1"/>
      <w:marLeft w:val="0"/>
      <w:marRight w:val="0"/>
      <w:marTop w:val="0"/>
      <w:marBottom w:val="0"/>
      <w:divBdr>
        <w:top w:val="none" w:sz="0" w:space="0" w:color="auto"/>
        <w:left w:val="none" w:sz="0" w:space="0" w:color="auto"/>
        <w:bottom w:val="none" w:sz="0" w:space="0" w:color="auto"/>
        <w:right w:val="none" w:sz="0" w:space="0" w:color="auto"/>
      </w:divBdr>
    </w:div>
    <w:div w:id="912088110">
      <w:bodyDiv w:val="1"/>
      <w:marLeft w:val="0"/>
      <w:marRight w:val="0"/>
      <w:marTop w:val="0"/>
      <w:marBottom w:val="0"/>
      <w:divBdr>
        <w:top w:val="none" w:sz="0" w:space="0" w:color="auto"/>
        <w:left w:val="none" w:sz="0" w:space="0" w:color="auto"/>
        <w:bottom w:val="none" w:sz="0" w:space="0" w:color="auto"/>
        <w:right w:val="none" w:sz="0" w:space="0" w:color="auto"/>
      </w:divBdr>
    </w:div>
    <w:div w:id="950555105">
      <w:bodyDiv w:val="1"/>
      <w:marLeft w:val="0"/>
      <w:marRight w:val="0"/>
      <w:marTop w:val="0"/>
      <w:marBottom w:val="0"/>
      <w:divBdr>
        <w:top w:val="none" w:sz="0" w:space="0" w:color="auto"/>
        <w:left w:val="none" w:sz="0" w:space="0" w:color="auto"/>
        <w:bottom w:val="none" w:sz="0" w:space="0" w:color="auto"/>
        <w:right w:val="none" w:sz="0" w:space="0" w:color="auto"/>
      </w:divBdr>
    </w:div>
    <w:div w:id="1069571654">
      <w:bodyDiv w:val="1"/>
      <w:marLeft w:val="0"/>
      <w:marRight w:val="0"/>
      <w:marTop w:val="0"/>
      <w:marBottom w:val="0"/>
      <w:divBdr>
        <w:top w:val="none" w:sz="0" w:space="0" w:color="auto"/>
        <w:left w:val="none" w:sz="0" w:space="0" w:color="auto"/>
        <w:bottom w:val="none" w:sz="0" w:space="0" w:color="auto"/>
        <w:right w:val="none" w:sz="0" w:space="0" w:color="auto"/>
      </w:divBdr>
    </w:div>
    <w:div w:id="1115442522">
      <w:bodyDiv w:val="1"/>
      <w:marLeft w:val="0"/>
      <w:marRight w:val="0"/>
      <w:marTop w:val="0"/>
      <w:marBottom w:val="0"/>
      <w:divBdr>
        <w:top w:val="none" w:sz="0" w:space="0" w:color="auto"/>
        <w:left w:val="none" w:sz="0" w:space="0" w:color="auto"/>
        <w:bottom w:val="none" w:sz="0" w:space="0" w:color="auto"/>
        <w:right w:val="none" w:sz="0" w:space="0" w:color="auto"/>
      </w:divBdr>
    </w:div>
    <w:div w:id="1157258654">
      <w:bodyDiv w:val="1"/>
      <w:marLeft w:val="0"/>
      <w:marRight w:val="0"/>
      <w:marTop w:val="0"/>
      <w:marBottom w:val="0"/>
      <w:divBdr>
        <w:top w:val="none" w:sz="0" w:space="0" w:color="auto"/>
        <w:left w:val="none" w:sz="0" w:space="0" w:color="auto"/>
        <w:bottom w:val="none" w:sz="0" w:space="0" w:color="auto"/>
        <w:right w:val="none" w:sz="0" w:space="0" w:color="auto"/>
      </w:divBdr>
    </w:div>
    <w:div w:id="1241675799">
      <w:bodyDiv w:val="1"/>
      <w:marLeft w:val="0"/>
      <w:marRight w:val="0"/>
      <w:marTop w:val="0"/>
      <w:marBottom w:val="0"/>
      <w:divBdr>
        <w:top w:val="none" w:sz="0" w:space="0" w:color="auto"/>
        <w:left w:val="none" w:sz="0" w:space="0" w:color="auto"/>
        <w:bottom w:val="none" w:sz="0" w:space="0" w:color="auto"/>
        <w:right w:val="none" w:sz="0" w:space="0" w:color="auto"/>
      </w:divBdr>
      <w:divsChild>
        <w:div w:id="2047948282">
          <w:marLeft w:val="0"/>
          <w:marRight w:val="0"/>
          <w:marTop w:val="0"/>
          <w:marBottom w:val="0"/>
          <w:divBdr>
            <w:top w:val="none" w:sz="0" w:space="0" w:color="auto"/>
            <w:left w:val="none" w:sz="0" w:space="0" w:color="auto"/>
            <w:bottom w:val="none" w:sz="0" w:space="0" w:color="auto"/>
            <w:right w:val="none" w:sz="0" w:space="0" w:color="auto"/>
          </w:divBdr>
          <w:divsChild>
            <w:div w:id="1200387881">
              <w:marLeft w:val="0"/>
              <w:marRight w:val="0"/>
              <w:marTop w:val="0"/>
              <w:marBottom w:val="0"/>
              <w:divBdr>
                <w:top w:val="none" w:sz="0" w:space="0" w:color="auto"/>
                <w:left w:val="none" w:sz="0" w:space="0" w:color="auto"/>
                <w:bottom w:val="none" w:sz="0" w:space="0" w:color="auto"/>
                <w:right w:val="none" w:sz="0" w:space="0" w:color="auto"/>
              </w:divBdr>
              <w:divsChild>
                <w:div w:id="1035232211">
                  <w:marLeft w:val="0"/>
                  <w:marRight w:val="0"/>
                  <w:marTop w:val="0"/>
                  <w:marBottom w:val="0"/>
                  <w:divBdr>
                    <w:top w:val="none" w:sz="0" w:space="0" w:color="auto"/>
                    <w:left w:val="none" w:sz="0" w:space="0" w:color="auto"/>
                    <w:bottom w:val="none" w:sz="0" w:space="0" w:color="auto"/>
                    <w:right w:val="none" w:sz="0" w:space="0" w:color="auto"/>
                  </w:divBdr>
                  <w:divsChild>
                    <w:div w:id="82602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405109">
              <w:marLeft w:val="0"/>
              <w:marRight w:val="0"/>
              <w:marTop w:val="0"/>
              <w:marBottom w:val="0"/>
              <w:divBdr>
                <w:top w:val="none" w:sz="0" w:space="0" w:color="auto"/>
                <w:left w:val="none" w:sz="0" w:space="0" w:color="auto"/>
                <w:bottom w:val="none" w:sz="0" w:space="0" w:color="auto"/>
                <w:right w:val="none" w:sz="0" w:space="0" w:color="auto"/>
              </w:divBdr>
              <w:divsChild>
                <w:div w:id="1312324301">
                  <w:marLeft w:val="0"/>
                  <w:marRight w:val="0"/>
                  <w:marTop w:val="0"/>
                  <w:marBottom w:val="0"/>
                  <w:divBdr>
                    <w:top w:val="none" w:sz="0" w:space="0" w:color="auto"/>
                    <w:left w:val="none" w:sz="0" w:space="0" w:color="auto"/>
                    <w:bottom w:val="none" w:sz="0" w:space="0" w:color="auto"/>
                    <w:right w:val="none" w:sz="0" w:space="0" w:color="auto"/>
                  </w:divBdr>
                  <w:divsChild>
                    <w:div w:id="39219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926461">
              <w:marLeft w:val="0"/>
              <w:marRight w:val="0"/>
              <w:marTop w:val="0"/>
              <w:marBottom w:val="0"/>
              <w:divBdr>
                <w:top w:val="none" w:sz="0" w:space="0" w:color="auto"/>
                <w:left w:val="none" w:sz="0" w:space="0" w:color="auto"/>
                <w:bottom w:val="none" w:sz="0" w:space="0" w:color="auto"/>
                <w:right w:val="none" w:sz="0" w:space="0" w:color="auto"/>
              </w:divBdr>
              <w:divsChild>
                <w:div w:id="293218983">
                  <w:marLeft w:val="0"/>
                  <w:marRight w:val="0"/>
                  <w:marTop w:val="0"/>
                  <w:marBottom w:val="0"/>
                  <w:divBdr>
                    <w:top w:val="none" w:sz="0" w:space="0" w:color="auto"/>
                    <w:left w:val="none" w:sz="0" w:space="0" w:color="auto"/>
                    <w:bottom w:val="none" w:sz="0" w:space="0" w:color="auto"/>
                    <w:right w:val="none" w:sz="0" w:space="0" w:color="auto"/>
                  </w:divBdr>
                  <w:divsChild>
                    <w:div w:id="101299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32741">
              <w:marLeft w:val="0"/>
              <w:marRight w:val="0"/>
              <w:marTop w:val="0"/>
              <w:marBottom w:val="0"/>
              <w:divBdr>
                <w:top w:val="none" w:sz="0" w:space="0" w:color="auto"/>
                <w:left w:val="none" w:sz="0" w:space="0" w:color="auto"/>
                <w:bottom w:val="none" w:sz="0" w:space="0" w:color="auto"/>
                <w:right w:val="none" w:sz="0" w:space="0" w:color="auto"/>
              </w:divBdr>
              <w:divsChild>
                <w:div w:id="479153619">
                  <w:marLeft w:val="0"/>
                  <w:marRight w:val="0"/>
                  <w:marTop w:val="0"/>
                  <w:marBottom w:val="0"/>
                  <w:divBdr>
                    <w:top w:val="none" w:sz="0" w:space="0" w:color="auto"/>
                    <w:left w:val="none" w:sz="0" w:space="0" w:color="auto"/>
                    <w:bottom w:val="none" w:sz="0" w:space="0" w:color="auto"/>
                    <w:right w:val="none" w:sz="0" w:space="0" w:color="auto"/>
                  </w:divBdr>
                  <w:divsChild>
                    <w:div w:id="592397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13274">
              <w:marLeft w:val="0"/>
              <w:marRight w:val="0"/>
              <w:marTop w:val="0"/>
              <w:marBottom w:val="0"/>
              <w:divBdr>
                <w:top w:val="none" w:sz="0" w:space="0" w:color="auto"/>
                <w:left w:val="none" w:sz="0" w:space="0" w:color="auto"/>
                <w:bottom w:val="none" w:sz="0" w:space="0" w:color="auto"/>
                <w:right w:val="none" w:sz="0" w:space="0" w:color="auto"/>
              </w:divBdr>
              <w:divsChild>
                <w:div w:id="153035655">
                  <w:marLeft w:val="0"/>
                  <w:marRight w:val="0"/>
                  <w:marTop w:val="0"/>
                  <w:marBottom w:val="0"/>
                  <w:divBdr>
                    <w:top w:val="none" w:sz="0" w:space="0" w:color="auto"/>
                    <w:left w:val="none" w:sz="0" w:space="0" w:color="auto"/>
                    <w:bottom w:val="none" w:sz="0" w:space="0" w:color="auto"/>
                    <w:right w:val="none" w:sz="0" w:space="0" w:color="auto"/>
                  </w:divBdr>
                  <w:divsChild>
                    <w:div w:id="779378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561932">
              <w:marLeft w:val="0"/>
              <w:marRight w:val="0"/>
              <w:marTop w:val="0"/>
              <w:marBottom w:val="0"/>
              <w:divBdr>
                <w:top w:val="none" w:sz="0" w:space="0" w:color="auto"/>
                <w:left w:val="none" w:sz="0" w:space="0" w:color="auto"/>
                <w:bottom w:val="none" w:sz="0" w:space="0" w:color="auto"/>
                <w:right w:val="none" w:sz="0" w:space="0" w:color="auto"/>
              </w:divBdr>
              <w:divsChild>
                <w:div w:id="2051833143">
                  <w:marLeft w:val="0"/>
                  <w:marRight w:val="0"/>
                  <w:marTop w:val="0"/>
                  <w:marBottom w:val="0"/>
                  <w:divBdr>
                    <w:top w:val="none" w:sz="0" w:space="0" w:color="auto"/>
                    <w:left w:val="none" w:sz="0" w:space="0" w:color="auto"/>
                    <w:bottom w:val="none" w:sz="0" w:space="0" w:color="auto"/>
                    <w:right w:val="none" w:sz="0" w:space="0" w:color="auto"/>
                  </w:divBdr>
                  <w:divsChild>
                    <w:div w:id="388117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396319">
              <w:marLeft w:val="0"/>
              <w:marRight w:val="0"/>
              <w:marTop w:val="0"/>
              <w:marBottom w:val="0"/>
              <w:divBdr>
                <w:top w:val="none" w:sz="0" w:space="0" w:color="auto"/>
                <w:left w:val="none" w:sz="0" w:space="0" w:color="auto"/>
                <w:bottom w:val="none" w:sz="0" w:space="0" w:color="auto"/>
                <w:right w:val="none" w:sz="0" w:space="0" w:color="auto"/>
              </w:divBdr>
              <w:divsChild>
                <w:div w:id="974019363">
                  <w:marLeft w:val="0"/>
                  <w:marRight w:val="0"/>
                  <w:marTop w:val="0"/>
                  <w:marBottom w:val="0"/>
                  <w:divBdr>
                    <w:top w:val="none" w:sz="0" w:space="0" w:color="auto"/>
                    <w:left w:val="none" w:sz="0" w:space="0" w:color="auto"/>
                    <w:bottom w:val="none" w:sz="0" w:space="0" w:color="auto"/>
                    <w:right w:val="none" w:sz="0" w:space="0" w:color="auto"/>
                  </w:divBdr>
                  <w:divsChild>
                    <w:div w:id="1750610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391324">
              <w:marLeft w:val="0"/>
              <w:marRight w:val="0"/>
              <w:marTop w:val="0"/>
              <w:marBottom w:val="0"/>
              <w:divBdr>
                <w:top w:val="none" w:sz="0" w:space="0" w:color="auto"/>
                <w:left w:val="none" w:sz="0" w:space="0" w:color="auto"/>
                <w:bottom w:val="none" w:sz="0" w:space="0" w:color="auto"/>
                <w:right w:val="none" w:sz="0" w:space="0" w:color="auto"/>
              </w:divBdr>
              <w:divsChild>
                <w:div w:id="2082101032">
                  <w:marLeft w:val="0"/>
                  <w:marRight w:val="0"/>
                  <w:marTop w:val="0"/>
                  <w:marBottom w:val="0"/>
                  <w:divBdr>
                    <w:top w:val="none" w:sz="0" w:space="0" w:color="auto"/>
                    <w:left w:val="none" w:sz="0" w:space="0" w:color="auto"/>
                    <w:bottom w:val="none" w:sz="0" w:space="0" w:color="auto"/>
                    <w:right w:val="none" w:sz="0" w:space="0" w:color="auto"/>
                  </w:divBdr>
                  <w:divsChild>
                    <w:div w:id="151757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725229">
              <w:marLeft w:val="0"/>
              <w:marRight w:val="0"/>
              <w:marTop w:val="0"/>
              <w:marBottom w:val="0"/>
              <w:divBdr>
                <w:top w:val="none" w:sz="0" w:space="0" w:color="auto"/>
                <w:left w:val="none" w:sz="0" w:space="0" w:color="auto"/>
                <w:bottom w:val="none" w:sz="0" w:space="0" w:color="auto"/>
                <w:right w:val="none" w:sz="0" w:space="0" w:color="auto"/>
              </w:divBdr>
              <w:divsChild>
                <w:div w:id="1363434150">
                  <w:marLeft w:val="0"/>
                  <w:marRight w:val="0"/>
                  <w:marTop w:val="0"/>
                  <w:marBottom w:val="0"/>
                  <w:divBdr>
                    <w:top w:val="none" w:sz="0" w:space="0" w:color="auto"/>
                    <w:left w:val="none" w:sz="0" w:space="0" w:color="auto"/>
                    <w:bottom w:val="none" w:sz="0" w:space="0" w:color="auto"/>
                    <w:right w:val="none" w:sz="0" w:space="0" w:color="auto"/>
                  </w:divBdr>
                  <w:divsChild>
                    <w:div w:id="225260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327365">
              <w:marLeft w:val="0"/>
              <w:marRight w:val="0"/>
              <w:marTop w:val="0"/>
              <w:marBottom w:val="0"/>
              <w:divBdr>
                <w:top w:val="none" w:sz="0" w:space="0" w:color="auto"/>
                <w:left w:val="none" w:sz="0" w:space="0" w:color="auto"/>
                <w:bottom w:val="none" w:sz="0" w:space="0" w:color="auto"/>
                <w:right w:val="none" w:sz="0" w:space="0" w:color="auto"/>
              </w:divBdr>
              <w:divsChild>
                <w:div w:id="1021276412">
                  <w:marLeft w:val="0"/>
                  <w:marRight w:val="0"/>
                  <w:marTop w:val="0"/>
                  <w:marBottom w:val="0"/>
                  <w:divBdr>
                    <w:top w:val="none" w:sz="0" w:space="0" w:color="auto"/>
                    <w:left w:val="none" w:sz="0" w:space="0" w:color="auto"/>
                    <w:bottom w:val="none" w:sz="0" w:space="0" w:color="auto"/>
                    <w:right w:val="none" w:sz="0" w:space="0" w:color="auto"/>
                  </w:divBdr>
                  <w:divsChild>
                    <w:div w:id="47141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507017">
              <w:marLeft w:val="0"/>
              <w:marRight w:val="0"/>
              <w:marTop w:val="0"/>
              <w:marBottom w:val="0"/>
              <w:divBdr>
                <w:top w:val="none" w:sz="0" w:space="0" w:color="auto"/>
                <w:left w:val="none" w:sz="0" w:space="0" w:color="auto"/>
                <w:bottom w:val="none" w:sz="0" w:space="0" w:color="auto"/>
                <w:right w:val="none" w:sz="0" w:space="0" w:color="auto"/>
              </w:divBdr>
              <w:divsChild>
                <w:div w:id="876697889">
                  <w:marLeft w:val="0"/>
                  <w:marRight w:val="0"/>
                  <w:marTop w:val="0"/>
                  <w:marBottom w:val="0"/>
                  <w:divBdr>
                    <w:top w:val="none" w:sz="0" w:space="0" w:color="auto"/>
                    <w:left w:val="none" w:sz="0" w:space="0" w:color="auto"/>
                    <w:bottom w:val="none" w:sz="0" w:space="0" w:color="auto"/>
                    <w:right w:val="none" w:sz="0" w:space="0" w:color="auto"/>
                  </w:divBdr>
                  <w:divsChild>
                    <w:div w:id="69955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881559">
              <w:marLeft w:val="0"/>
              <w:marRight w:val="0"/>
              <w:marTop w:val="0"/>
              <w:marBottom w:val="0"/>
              <w:divBdr>
                <w:top w:val="none" w:sz="0" w:space="0" w:color="auto"/>
                <w:left w:val="none" w:sz="0" w:space="0" w:color="auto"/>
                <w:bottom w:val="none" w:sz="0" w:space="0" w:color="auto"/>
                <w:right w:val="none" w:sz="0" w:space="0" w:color="auto"/>
              </w:divBdr>
              <w:divsChild>
                <w:div w:id="357706145">
                  <w:marLeft w:val="0"/>
                  <w:marRight w:val="0"/>
                  <w:marTop w:val="0"/>
                  <w:marBottom w:val="0"/>
                  <w:divBdr>
                    <w:top w:val="none" w:sz="0" w:space="0" w:color="auto"/>
                    <w:left w:val="none" w:sz="0" w:space="0" w:color="auto"/>
                    <w:bottom w:val="none" w:sz="0" w:space="0" w:color="auto"/>
                    <w:right w:val="none" w:sz="0" w:space="0" w:color="auto"/>
                  </w:divBdr>
                  <w:divsChild>
                    <w:div w:id="2003701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44572">
              <w:marLeft w:val="0"/>
              <w:marRight w:val="0"/>
              <w:marTop w:val="0"/>
              <w:marBottom w:val="0"/>
              <w:divBdr>
                <w:top w:val="none" w:sz="0" w:space="0" w:color="auto"/>
                <w:left w:val="none" w:sz="0" w:space="0" w:color="auto"/>
                <w:bottom w:val="none" w:sz="0" w:space="0" w:color="auto"/>
                <w:right w:val="none" w:sz="0" w:space="0" w:color="auto"/>
              </w:divBdr>
              <w:divsChild>
                <w:div w:id="928580551">
                  <w:marLeft w:val="0"/>
                  <w:marRight w:val="0"/>
                  <w:marTop w:val="0"/>
                  <w:marBottom w:val="0"/>
                  <w:divBdr>
                    <w:top w:val="none" w:sz="0" w:space="0" w:color="auto"/>
                    <w:left w:val="none" w:sz="0" w:space="0" w:color="auto"/>
                    <w:bottom w:val="none" w:sz="0" w:space="0" w:color="auto"/>
                    <w:right w:val="none" w:sz="0" w:space="0" w:color="auto"/>
                  </w:divBdr>
                  <w:divsChild>
                    <w:div w:id="1618298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714904">
              <w:marLeft w:val="0"/>
              <w:marRight w:val="0"/>
              <w:marTop w:val="0"/>
              <w:marBottom w:val="0"/>
              <w:divBdr>
                <w:top w:val="none" w:sz="0" w:space="0" w:color="auto"/>
                <w:left w:val="none" w:sz="0" w:space="0" w:color="auto"/>
                <w:bottom w:val="none" w:sz="0" w:space="0" w:color="auto"/>
                <w:right w:val="none" w:sz="0" w:space="0" w:color="auto"/>
              </w:divBdr>
              <w:divsChild>
                <w:div w:id="64426154">
                  <w:marLeft w:val="0"/>
                  <w:marRight w:val="0"/>
                  <w:marTop w:val="0"/>
                  <w:marBottom w:val="0"/>
                  <w:divBdr>
                    <w:top w:val="none" w:sz="0" w:space="0" w:color="auto"/>
                    <w:left w:val="none" w:sz="0" w:space="0" w:color="auto"/>
                    <w:bottom w:val="none" w:sz="0" w:space="0" w:color="auto"/>
                    <w:right w:val="none" w:sz="0" w:space="0" w:color="auto"/>
                  </w:divBdr>
                  <w:divsChild>
                    <w:div w:id="20881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185415">
              <w:marLeft w:val="0"/>
              <w:marRight w:val="0"/>
              <w:marTop w:val="0"/>
              <w:marBottom w:val="0"/>
              <w:divBdr>
                <w:top w:val="none" w:sz="0" w:space="0" w:color="auto"/>
                <w:left w:val="none" w:sz="0" w:space="0" w:color="auto"/>
                <w:bottom w:val="none" w:sz="0" w:space="0" w:color="auto"/>
                <w:right w:val="none" w:sz="0" w:space="0" w:color="auto"/>
              </w:divBdr>
              <w:divsChild>
                <w:div w:id="1281448012">
                  <w:marLeft w:val="0"/>
                  <w:marRight w:val="0"/>
                  <w:marTop w:val="0"/>
                  <w:marBottom w:val="0"/>
                  <w:divBdr>
                    <w:top w:val="none" w:sz="0" w:space="0" w:color="auto"/>
                    <w:left w:val="none" w:sz="0" w:space="0" w:color="auto"/>
                    <w:bottom w:val="none" w:sz="0" w:space="0" w:color="auto"/>
                    <w:right w:val="none" w:sz="0" w:space="0" w:color="auto"/>
                  </w:divBdr>
                  <w:divsChild>
                    <w:div w:id="1114059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015095">
              <w:marLeft w:val="0"/>
              <w:marRight w:val="0"/>
              <w:marTop w:val="0"/>
              <w:marBottom w:val="0"/>
              <w:divBdr>
                <w:top w:val="none" w:sz="0" w:space="0" w:color="auto"/>
                <w:left w:val="none" w:sz="0" w:space="0" w:color="auto"/>
                <w:bottom w:val="none" w:sz="0" w:space="0" w:color="auto"/>
                <w:right w:val="none" w:sz="0" w:space="0" w:color="auto"/>
              </w:divBdr>
              <w:divsChild>
                <w:div w:id="1313605448">
                  <w:marLeft w:val="0"/>
                  <w:marRight w:val="0"/>
                  <w:marTop w:val="0"/>
                  <w:marBottom w:val="0"/>
                  <w:divBdr>
                    <w:top w:val="none" w:sz="0" w:space="0" w:color="auto"/>
                    <w:left w:val="none" w:sz="0" w:space="0" w:color="auto"/>
                    <w:bottom w:val="none" w:sz="0" w:space="0" w:color="auto"/>
                    <w:right w:val="none" w:sz="0" w:space="0" w:color="auto"/>
                  </w:divBdr>
                  <w:divsChild>
                    <w:div w:id="189060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582439">
              <w:marLeft w:val="0"/>
              <w:marRight w:val="0"/>
              <w:marTop w:val="0"/>
              <w:marBottom w:val="0"/>
              <w:divBdr>
                <w:top w:val="none" w:sz="0" w:space="0" w:color="auto"/>
                <w:left w:val="none" w:sz="0" w:space="0" w:color="auto"/>
                <w:bottom w:val="none" w:sz="0" w:space="0" w:color="auto"/>
                <w:right w:val="none" w:sz="0" w:space="0" w:color="auto"/>
              </w:divBdr>
              <w:divsChild>
                <w:div w:id="1303192429">
                  <w:marLeft w:val="0"/>
                  <w:marRight w:val="0"/>
                  <w:marTop w:val="0"/>
                  <w:marBottom w:val="0"/>
                  <w:divBdr>
                    <w:top w:val="none" w:sz="0" w:space="0" w:color="auto"/>
                    <w:left w:val="none" w:sz="0" w:space="0" w:color="auto"/>
                    <w:bottom w:val="none" w:sz="0" w:space="0" w:color="auto"/>
                    <w:right w:val="none" w:sz="0" w:space="0" w:color="auto"/>
                  </w:divBdr>
                  <w:divsChild>
                    <w:div w:id="113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02864">
              <w:marLeft w:val="0"/>
              <w:marRight w:val="0"/>
              <w:marTop w:val="0"/>
              <w:marBottom w:val="0"/>
              <w:divBdr>
                <w:top w:val="none" w:sz="0" w:space="0" w:color="auto"/>
                <w:left w:val="none" w:sz="0" w:space="0" w:color="auto"/>
                <w:bottom w:val="none" w:sz="0" w:space="0" w:color="auto"/>
                <w:right w:val="none" w:sz="0" w:space="0" w:color="auto"/>
              </w:divBdr>
              <w:divsChild>
                <w:div w:id="1296180787">
                  <w:marLeft w:val="0"/>
                  <w:marRight w:val="0"/>
                  <w:marTop w:val="0"/>
                  <w:marBottom w:val="0"/>
                  <w:divBdr>
                    <w:top w:val="none" w:sz="0" w:space="0" w:color="auto"/>
                    <w:left w:val="none" w:sz="0" w:space="0" w:color="auto"/>
                    <w:bottom w:val="none" w:sz="0" w:space="0" w:color="auto"/>
                    <w:right w:val="none" w:sz="0" w:space="0" w:color="auto"/>
                  </w:divBdr>
                  <w:divsChild>
                    <w:div w:id="32822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663670">
              <w:marLeft w:val="0"/>
              <w:marRight w:val="0"/>
              <w:marTop w:val="0"/>
              <w:marBottom w:val="0"/>
              <w:divBdr>
                <w:top w:val="none" w:sz="0" w:space="0" w:color="auto"/>
                <w:left w:val="none" w:sz="0" w:space="0" w:color="auto"/>
                <w:bottom w:val="none" w:sz="0" w:space="0" w:color="auto"/>
                <w:right w:val="none" w:sz="0" w:space="0" w:color="auto"/>
              </w:divBdr>
              <w:divsChild>
                <w:div w:id="1832595809">
                  <w:marLeft w:val="0"/>
                  <w:marRight w:val="0"/>
                  <w:marTop w:val="0"/>
                  <w:marBottom w:val="0"/>
                  <w:divBdr>
                    <w:top w:val="none" w:sz="0" w:space="0" w:color="auto"/>
                    <w:left w:val="none" w:sz="0" w:space="0" w:color="auto"/>
                    <w:bottom w:val="none" w:sz="0" w:space="0" w:color="auto"/>
                    <w:right w:val="none" w:sz="0" w:space="0" w:color="auto"/>
                  </w:divBdr>
                  <w:divsChild>
                    <w:div w:id="416485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346568">
              <w:marLeft w:val="0"/>
              <w:marRight w:val="0"/>
              <w:marTop w:val="0"/>
              <w:marBottom w:val="0"/>
              <w:divBdr>
                <w:top w:val="none" w:sz="0" w:space="0" w:color="auto"/>
                <w:left w:val="none" w:sz="0" w:space="0" w:color="auto"/>
                <w:bottom w:val="none" w:sz="0" w:space="0" w:color="auto"/>
                <w:right w:val="none" w:sz="0" w:space="0" w:color="auto"/>
              </w:divBdr>
              <w:divsChild>
                <w:div w:id="448620836">
                  <w:marLeft w:val="0"/>
                  <w:marRight w:val="0"/>
                  <w:marTop w:val="0"/>
                  <w:marBottom w:val="0"/>
                  <w:divBdr>
                    <w:top w:val="none" w:sz="0" w:space="0" w:color="auto"/>
                    <w:left w:val="none" w:sz="0" w:space="0" w:color="auto"/>
                    <w:bottom w:val="none" w:sz="0" w:space="0" w:color="auto"/>
                    <w:right w:val="none" w:sz="0" w:space="0" w:color="auto"/>
                  </w:divBdr>
                  <w:divsChild>
                    <w:div w:id="179478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18892">
              <w:marLeft w:val="0"/>
              <w:marRight w:val="0"/>
              <w:marTop w:val="0"/>
              <w:marBottom w:val="0"/>
              <w:divBdr>
                <w:top w:val="none" w:sz="0" w:space="0" w:color="auto"/>
                <w:left w:val="none" w:sz="0" w:space="0" w:color="auto"/>
                <w:bottom w:val="none" w:sz="0" w:space="0" w:color="auto"/>
                <w:right w:val="none" w:sz="0" w:space="0" w:color="auto"/>
              </w:divBdr>
              <w:divsChild>
                <w:div w:id="764812497">
                  <w:marLeft w:val="0"/>
                  <w:marRight w:val="0"/>
                  <w:marTop w:val="0"/>
                  <w:marBottom w:val="0"/>
                  <w:divBdr>
                    <w:top w:val="none" w:sz="0" w:space="0" w:color="auto"/>
                    <w:left w:val="none" w:sz="0" w:space="0" w:color="auto"/>
                    <w:bottom w:val="none" w:sz="0" w:space="0" w:color="auto"/>
                    <w:right w:val="none" w:sz="0" w:space="0" w:color="auto"/>
                  </w:divBdr>
                  <w:divsChild>
                    <w:div w:id="964121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696254">
              <w:marLeft w:val="0"/>
              <w:marRight w:val="0"/>
              <w:marTop w:val="0"/>
              <w:marBottom w:val="0"/>
              <w:divBdr>
                <w:top w:val="none" w:sz="0" w:space="0" w:color="auto"/>
                <w:left w:val="none" w:sz="0" w:space="0" w:color="auto"/>
                <w:bottom w:val="none" w:sz="0" w:space="0" w:color="auto"/>
                <w:right w:val="none" w:sz="0" w:space="0" w:color="auto"/>
              </w:divBdr>
              <w:divsChild>
                <w:div w:id="136000896">
                  <w:marLeft w:val="0"/>
                  <w:marRight w:val="0"/>
                  <w:marTop w:val="0"/>
                  <w:marBottom w:val="0"/>
                  <w:divBdr>
                    <w:top w:val="none" w:sz="0" w:space="0" w:color="auto"/>
                    <w:left w:val="none" w:sz="0" w:space="0" w:color="auto"/>
                    <w:bottom w:val="none" w:sz="0" w:space="0" w:color="auto"/>
                    <w:right w:val="none" w:sz="0" w:space="0" w:color="auto"/>
                  </w:divBdr>
                  <w:divsChild>
                    <w:div w:id="163841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62441">
              <w:marLeft w:val="0"/>
              <w:marRight w:val="0"/>
              <w:marTop w:val="0"/>
              <w:marBottom w:val="0"/>
              <w:divBdr>
                <w:top w:val="none" w:sz="0" w:space="0" w:color="auto"/>
                <w:left w:val="none" w:sz="0" w:space="0" w:color="auto"/>
                <w:bottom w:val="none" w:sz="0" w:space="0" w:color="auto"/>
                <w:right w:val="none" w:sz="0" w:space="0" w:color="auto"/>
              </w:divBdr>
              <w:divsChild>
                <w:div w:id="1937522219">
                  <w:marLeft w:val="0"/>
                  <w:marRight w:val="0"/>
                  <w:marTop w:val="0"/>
                  <w:marBottom w:val="0"/>
                  <w:divBdr>
                    <w:top w:val="none" w:sz="0" w:space="0" w:color="auto"/>
                    <w:left w:val="none" w:sz="0" w:space="0" w:color="auto"/>
                    <w:bottom w:val="none" w:sz="0" w:space="0" w:color="auto"/>
                    <w:right w:val="none" w:sz="0" w:space="0" w:color="auto"/>
                  </w:divBdr>
                  <w:divsChild>
                    <w:div w:id="1457527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937698">
              <w:marLeft w:val="0"/>
              <w:marRight w:val="0"/>
              <w:marTop w:val="0"/>
              <w:marBottom w:val="0"/>
              <w:divBdr>
                <w:top w:val="none" w:sz="0" w:space="0" w:color="auto"/>
                <w:left w:val="none" w:sz="0" w:space="0" w:color="auto"/>
                <w:bottom w:val="none" w:sz="0" w:space="0" w:color="auto"/>
                <w:right w:val="none" w:sz="0" w:space="0" w:color="auto"/>
              </w:divBdr>
              <w:divsChild>
                <w:div w:id="141582942">
                  <w:marLeft w:val="0"/>
                  <w:marRight w:val="0"/>
                  <w:marTop w:val="0"/>
                  <w:marBottom w:val="0"/>
                  <w:divBdr>
                    <w:top w:val="none" w:sz="0" w:space="0" w:color="auto"/>
                    <w:left w:val="none" w:sz="0" w:space="0" w:color="auto"/>
                    <w:bottom w:val="none" w:sz="0" w:space="0" w:color="auto"/>
                    <w:right w:val="none" w:sz="0" w:space="0" w:color="auto"/>
                  </w:divBdr>
                  <w:divsChild>
                    <w:div w:id="123458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34775">
              <w:marLeft w:val="0"/>
              <w:marRight w:val="0"/>
              <w:marTop w:val="0"/>
              <w:marBottom w:val="0"/>
              <w:divBdr>
                <w:top w:val="none" w:sz="0" w:space="0" w:color="auto"/>
                <w:left w:val="none" w:sz="0" w:space="0" w:color="auto"/>
                <w:bottom w:val="none" w:sz="0" w:space="0" w:color="auto"/>
                <w:right w:val="none" w:sz="0" w:space="0" w:color="auto"/>
              </w:divBdr>
              <w:divsChild>
                <w:div w:id="1311329679">
                  <w:marLeft w:val="0"/>
                  <w:marRight w:val="0"/>
                  <w:marTop w:val="0"/>
                  <w:marBottom w:val="0"/>
                  <w:divBdr>
                    <w:top w:val="none" w:sz="0" w:space="0" w:color="auto"/>
                    <w:left w:val="none" w:sz="0" w:space="0" w:color="auto"/>
                    <w:bottom w:val="none" w:sz="0" w:space="0" w:color="auto"/>
                    <w:right w:val="none" w:sz="0" w:space="0" w:color="auto"/>
                  </w:divBdr>
                  <w:divsChild>
                    <w:div w:id="144441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673840">
              <w:marLeft w:val="0"/>
              <w:marRight w:val="0"/>
              <w:marTop w:val="0"/>
              <w:marBottom w:val="0"/>
              <w:divBdr>
                <w:top w:val="none" w:sz="0" w:space="0" w:color="auto"/>
                <w:left w:val="none" w:sz="0" w:space="0" w:color="auto"/>
                <w:bottom w:val="none" w:sz="0" w:space="0" w:color="auto"/>
                <w:right w:val="none" w:sz="0" w:space="0" w:color="auto"/>
              </w:divBdr>
              <w:divsChild>
                <w:div w:id="15084312">
                  <w:marLeft w:val="0"/>
                  <w:marRight w:val="0"/>
                  <w:marTop w:val="0"/>
                  <w:marBottom w:val="0"/>
                  <w:divBdr>
                    <w:top w:val="none" w:sz="0" w:space="0" w:color="auto"/>
                    <w:left w:val="none" w:sz="0" w:space="0" w:color="auto"/>
                    <w:bottom w:val="none" w:sz="0" w:space="0" w:color="auto"/>
                    <w:right w:val="none" w:sz="0" w:space="0" w:color="auto"/>
                  </w:divBdr>
                  <w:divsChild>
                    <w:div w:id="2083597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645786">
              <w:marLeft w:val="0"/>
              <w:marRight w:val="0"/>
              <w:marTop w:val="0"/>
              <w:marBottom w:val="0"/>
              <w:divBdr>
                <w:top w:val="none" w:sz="0" w:space="0" w:color="auto"/>
                <w:left w:val="none" w:sz="0" w:space="0" w:color="auto"/>
                <w:bottom w:val="none" w:sz="0" w:space="0" w:color="auto"/>
                <w:right w:val="none" w:sz="0" w:space="0" w:color="auto"/>
              </w:divBdr>
              <w:divsChild>
                <w:div w:id="1575433494">
                  <w:marLeft w:val="0"/>
                  <w:marRight w:val="0"/>
                  <w:marTop w:val="0"/>
                  <w:marBottom w:val="0"/>
                  <w:divBdr>
                    <w:top w:val="none" w:sz="0" w:space="0" w:color="auto"/>
                    <w:left w:val="none" w:sz="0" w:space="0" w:color="auto"/>
                    <w:bottom w:val="none" w:sz="0" w:space="0" w:color="auto"/>
                    <w:right w:val="none" w:sz="0" w:space="0" w:color="auto"/>
                  </w:divBdr>
                  <w:divsChild>
                    <w:div w:id="138806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139124">
              <w:marLeft w:val="0"/>
              <w:marRight w:val="0"/>
              <w:marTop w:val="0"/>
              <w:marBottom w:val="0"/>
              <w:divBdr>
                <w:top w:val="none" w:sz="0" w:space="0" w:color="auto"/>
                <w:left w:val="none" w:sz="0" w:space="0" w:color="auto"/>
                <w:bottom w:val="none" w:sz="0" w:space="0" w:color="auto"/>
                <w:right w:val="none" w:sz="0" w:space="0" w:color="auto"/>
              </w:divBdr>
              <w:divsChild>
                <w:div w:id="1323587114">
                  <w:marLeft w:val="0"/>
                  <w:marRight w:val="0"/>
                  <w:marTop w:val="0"/>
                  <w:marBottom w:val="0"/>
                  <w:divBdr>
                    <w:top w:val="none" w:sz="0" w:space="0" w:color="auto"/>
                    <w:left w:val="none" w:sz="0" w:space="0" w:color="auto"/>
                    <w:bottom w:val="none" w:sz="0" w:space="0" w:color="auto"/>
                    <w:right w:val="none" w:sz="0" w:space="0" w:color="auto"/>
                  </w:divBdr>
                  <w:divsChild>
                    <w:div w:id="149711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798761">
              <w:marLeft w:val="0"/>
              <w:marRight w:val="0"/>
              <w:marTop w:val="0"/>
              <w:marBottom w:val="0"/>
              <w:divBdr>
                <w:top w:val="none" w:sz="0" w:space="0" w:color="auto"/>
                <w:left w:val="none" w:sz="0" w:space="0" w:color="auto"/>
                <w:bottom w:val="none" w:sz="0" w:space="0" w:color="auto"/>
                <w:right w:val="none" w:sz="0" w:space="0" w:color="auto"/>
              </w:divBdr>
              <w:divsChild>
                <w:div w:id="319118966">
                  <w:marLeft w:val="0"/>
                  <w:marRight w:val="0"/>
                  <w:marTop w:val="0"/>
                  <w:marBottom w:val="0"/>
                  <w:divBdr>
                    <w:top w:val="none" w:sz="0" w:space="0" w:color="auto"/>
                    <w:left w:val="none" w:sz="0" w:space="0" w:color="auto"/>
                    <w:bottom w:val="none" w:sz="0" w:space="0" w:color="auto"/>
                    <w:right w:val="none" w:sz="0" w:space="0" w:color="auto"/>
                  </w:divBdr>
                  <w:divsChild>
                    <w:div w:id="192889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975013">
              <w:marLeft w:val="0"/>
              <w:marRight w:val="0"/>
              <w:marTop w:val="0"/>
              <w:marBottom w:val="0"/>
              <w:divBdr>
                <w:top w:val="none" w:sz="0" w:space="0" w:color="auto"/>
                <w:left w:val="none" w:sz="0" w:space="0" w:color="auto"/>
                <w:bottom w:val="none" w:sz="0" w:space="0" w:color="auto"/>
                <w:right w:val="none" w:sz="0" w:space="0" w:color="auto"/>
              </w:divBdr>
              <w:divsChild>
                <w:div w:id="283509277">
                  <w:marLeft w:val="0"/>
                  <w:marRight w:val="0"/>
                  <w:marTop w:val="0"/>
                  <w:marBottom w:val="0"/>
                  <w:divBdr>
                    <w:top w:val="none" w:sz="0" w:space="0" w:color="auto"/>
                    <w:left w:val="none" w:sz="0" w:space="0" w:color="auto"/>
                    <w:bottom w:val="none" w:sz="0" w:space="0" w:color="auto"/>
                    <w:right w:val="none" w:sz="0" w:space="0" w:color="auto"/>
                  </w:divBdr>
                  <w:divsChild>
                    <w:div w:id="133872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201691">
              <w:marLeft w:val="0"/>
              <w:marRight w:val="0"/>
              <w:marTop w:val="0"/>
              <w:marBottom w:val="0"/>
              <w:divBdr>
                <w:top w:val="none" w:sz="0" w:space="0" w:color="auto"/>
                <w:left w:val="none" w:sz="0" w:space="0" w:color="auto"/>
                <w:bottom w:val="none" w:sz="0" w:space="0" w:color="auto"/>
                <w:right w:val="none" w:sz="0" w:space="0" w:color="auto"/>
              </w:divBdr>
              <w:divsChild>
                <w:div w:id="728042824">
                  <w:marLeft w:val="0"/>
                  <w:marRight w:val="0"/>
                  <w:marTop w:val="0"/>
                  <w:marBottom w:val="0"/>
                  <w:divBdr>
                    <w:top w:val="none" w:sz="0" w:space="0" w:color="auto"/>
                    <w:left w:val="none" w:sz="0" w:space="0" w:color="auto"/>
                    <w:bottom w:val="none" w:sz="0" w:space="0" w:color="auto"/>
                    <w:right w:val="none" w:sz="0" w:space="0" w:color="auto"/>
                  </w:divBdr>
                  <w:divsChild>
                    <w:div w:id="198253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86352">
              <w:marLeft w:val="0"/>
              <w:marRight w:val="0"/>
              <w:marTop w:val="0"/>
              <w:marBottom w:val="0"/>
              <w:divBdr>
                <w:top w:val="none" w:sz="0" w:space="0" w:color="auto"/>
                <w:left w:val="none" w:sz="0" w:space="0" w:color="auto"/>
                <w:bottom w:val="none" w:sz="0" w:space="0" w:color="auto"/>
                <w:right w:val="none" w:sz="0" w:space="0" w:color="auto"/>
              </w:divBdr>
              <w:divsChild>
                <w:div w:id="1841042244">
                  <w:marLeft w:val="0"/>
                  <w:marRight w:val="0"/>
                  <w:marTop w:val="0"/>
                  <w:marBottom w:val="0"/>
                  <w:divBdr>
                    <w:top w:val="none" w:sz="0" w:space="0" w:color="auto"/>
                    <w:left w:val="none" w:sz="0" w:space="0" w:color="auto"/>
                    <w:bottom w:val="none" w:sz="0" w:space="0" w:color="auto"/>
                    <w:right w:val="none" w:sz="0" w:space="0" w:color="auto"/>
                  </w:divBdr>
                  <w:divsChild>
                    <w:div w:id="163326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998915">
              <w:marLeft w:val="0"/>
              <w:marRight w:val="0"/>
              <w:marTop w:val="0"/>
              <w:marBottom w:val="0"/>
              <w:divBdr>
                <w:top w:val="none" w:sz="0" w:space="0" w:color="auto"/>
                <w:left w:val="none" w:sz="0" w:space="0" w:color="auto"/>
                <w:bottom w:val="none" w:sz="0" w:space="0" w:color="auto"/>
                <w:right w:val="none" w:sz="0" w:space="0" w:color="auto"/>
              </w:divBdr>
              <w:divsChild>
                <w:div w:id="796025826">
                  <w:marLeft w:val="0"/>
                  <w:marRight w:val="0"/>
                  <w:marTop w:val="0"/>
                  <w:marBottom w:val="0"/>
                  <w:divBdr>
                    <w:top w:val="none" w:sz="0" w:space="0" w:color="auto"/>
                    <w:left w:val="none" w:sz="0" w:space="0" w:color="auto"/>
                    <w:bottom w:val="none" w:sz="0" w:space="0" w:color="auto"/>
                    <w:right w:val="none" w:sz="0" w:space="0" w:color="auto"/>
                  </w:divBdr>
                  <w:divsChild>
                    <w:div w:id="123169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909488">
              <w:marLeft w:val="0"/>
              <w:marRight w:val="0"/>
              <w:marTop w:val="0"/>
              <w:marBottom w:val="0"/>
              <w:divBdr>
                <w:top w:val="none" w:sz="0" w:space="0" w:color="auto"/>
                <w:left w:val="none" w:sz="0" w:space="0" w:color="auto"/>
                <w:bottom w:val="none" w:sz="0" w:space="0" w:color="auto"/>
                <w:right w:val="none" w:sz="0" w:space="0" w:color="auto"/>
              </w:divBdr>
              <w:divsChild>
                <w:div w:id="1733889663">
                  <w:marLeft w:val="0"/>
                  <w:marRight w:val="0"/>
                  <w:marTop w:val="0"/>
                  <w:marBottom w:val="0"/>
                  <w:divBdr>
                    <w:top w:val="none" w:sz="0" w:space="0" w:color="auto"/>
                    <w:left w:val="none" w:sz="0" w:space="0" w:color="auto"/>
                    <w:bottom w:val="none" w:sz="0" w:space="0" w:color="auto"/>
                    <w:right w:val="none" w:sz="0" w:space="0" w:color="auto"/>
                  </w:divBdr>
                  <w:divsChild>
                    <w:div w:id="92584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214440">
              <w:marLeft w:val="0"/>
              <w:marRight w:val="0"/>
              <w:marTop w:val="0"/>
              <w:marBottom w:val="0"/>
              <w:divBdr>
                <w:top w:val="none" w:sz="0" w:space="0" w:color="auto"/>
                <w:left w:val="none" w:sz="0" w:space="0" w:color="auto"/>
                <w:bottom w:val="none" w:sz="0" w:space="0" w:color="auto"/>
                <w:right w:val="none" w:sz="0" w:space="0" w:color="auto"/>
              </w:divBdr>
              <w:divsChild>
                <w:div w:id="2053379475">
                  <w:marLeft w:val="0"/>
                  <w:marRight w:val="0"/>
                  <w:marTop w:val="0"/>
                  <w:marBottom w:val="0"/>
                  <w:divBdr>
                    <w:top w:val="none" w:sz="0" w:space="0" w:color="auto"/>
                    <w:left w:val="none" w:sz="0" w:space="0" w:color="auto"/>
                    <w:bottom w:val="none" w:sz="0" w:space="0" w:color="auto"/>
                    <w:right w:val="none" w:sz="0" w:space="0" w:color="auto"/>
                  </w:divBdr>
                  <w:divsChild>
                    <w:div w:id="1873347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754239">
              <w:marLeft w:val="0"/>
              <w:marRight w:val="0"/>
              <w:marTop w:val="0"/>
              <w:marBottom w:val="0"/>
              <w:divBdr>
                <w:top w:val="none" w:sz="0" w:space="0" w:color="auto"/>
                <w:left w:val="none" w:sz="0" w:space="0" w:color="auto"/>
                <w:bottom w:val="none" w:sz="0" w:space="0" w:color="auto"/>
                <w:right w:val="none" w:sz="0" w:space="0" w:color="auto"/>
              </w:divBdr>
              <w:divsChild>
                <w:div w:id="702286393">
                  <w:marLeft w:val="0"/>
                  <w:marRight w:val="0"/>
                  <w:marTop w:val="0"/>
                  <w:marBottom w:val="0"/>
                  <w:divBdr>
                    <w:top w:val="none" w:sz="0" w:space="0" w:color="auto"/>
                    <w:left w:val="none" w:sz="0" w:space="0" w:color="auto"/>
                    <w:bottom w:val="none" w:sz="0" w:space="0" w:color="auto"/>
                    <w:right w:val="none" w:sz="0" w:space="0" w:color="auto"/>
                  </w:divBdr>
                  <w:divsChild>
                    <w:div w:id="522986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10211">
              <w:marLeft w:val="0"/>
              <w:marRight w:val="0"/>
              <w:marTop w:val="0"/>
              <w:marBottom w:val="0"/>
              <w:divBdr>
                <w:top w:val="none" w:sz="0" w:space="0" w:color="auto"/>
                <w:left w:val="none" w:sz="0" w:space="0" w:color="auto"/>
                <w:bottom w:val="none" w:sz="0" w:space="0" w:color="auto"/>
                <w:right w:val="none" w:sz="0" w:space="0" w:color="auto"/>
              </w:divBdr>
              <w:divsChild>
                <w:div w:id="1104494360">
                  <w:marLeft w:val="0"/>
                  <w:marRight w:val="0"/>
                  <w:marTop w:val="0"/>
                  <w:marBottom w:val="0"/>
                  <w:divBdr>
                    <w:top w:val="none" w:sz="0" w:space="0" w:color="auto"/>
                    <w:left w:val="none" w:sz="0" w:space="0" w:color="auto"/>
                    <w:bottom w:val="none" w:sz="0" w:space="0" w:color="auto"/>
                    <w:right w:val="none" w:sz="0" w:space="0" w:color="auto"/>
                  </w:divBdr>
                  <w:divsChild>
                    <w:div w:id="87958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999743">
              <w:marLeft w:val="0"/>
              <w:marRight w:val="0"/>
              <w:marTop w:val="0"/>
              <w:marBottom w:val="0"/>
              <w:divBdr>
                <w:top w:val="none" w:sz="0" w:space="0" w:color="auto"/>
                <w:left w:val="none" w:sz="0" w:space="0" w:color="auto"/>
                <w:bottom w:val="none" w:sz="0" w:space="0" w:color="auto"/>
                <w:right w:val="none" w:sz="0" w:space="0" w:color="auto"/>
              </w:divBdr>
              <w:divsChild>
                <w:div w:id="1793401706">
                  <w:marLeft w:val="0"/>
                  <w:marRight w:val="0"/>
                  <w:marTop w:val="0"/>
                  <w:marBottom w:val="0"/>
                  <w:divBdr>
                    <w:top w:val="none" w:sz="0" w:space="0" w:color="auto"/>
                    <w:left w:val="none" w:sz="0" w:space="0" w:color="auto"/>
                    <w:bottom w:val="none" w:sz="0" w:space="0" w:color="auto"/>
                    <w:right w:val="none" w:sz="0" w:space="0" w:color="auto"/>
                  </w:divBdr>
                  <w:divsChild>
                    <w:div w:id="2044548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1884510">
      <w:bodyDiv w:val="1"/>
      <w:marLeft w:val="0"/>
      <w:marRight w:val="0"/>
      <w:marTop w:val="0"/>
      <w:marBottom w:val="0"/>
      <w:divBdr>
        <w:top w:val="none" w:sz="0" w:space="0" w:color="auto"/>
        <w:left w:val="none" w:sz="0" w:space="0" w:color="auto"/>
        <w:bottom w:val="none" w:sz="0" w:space="0" w:color="auto"/>
        <w:right w:val="none" w:sz="0" w:space="0" w:color="auto"/>
      </w:divBdr>
    </w:div>
    <w:div w:id="1384672511">
      <w:bodyDiv w:val="1"/>
      <w:marLeft w:val="0"/>
      <w:marRight w:val="0"/>
      <w:marTop w:val="0"/>
      <w:marBottom w:val="0"/>
      <w:divBdr>
        <w:top w:val="none" w:sz="0" w:space="0" w:color="auto"/>
        <w:left w:val="none" w:sz="0" w:space="0" w:color="auto"/>
        <w:bottom w:val="none" w:sz="0" w:space="0" w:color="auto"/>
        <w:right w:val="none" w:sz="0" w:space="0" w:color="auto"/>
      </w:divBdr>
    </w:div>
    <w:div w:id="1517186267">
      <w:bodyDiv w:val="1"/>
      <w:marLeft w:val="0"/>
      <w:marRight w:val="0"/>
      <w:marTop w:val="0"/>
      <w:marBottom w:val="0"/>
      <w:divBdr>
        <w:top w:val="none" w:sz="0" w:space="0" w:color="auto"/>
        <w:left w:val="none" w:sz="0" w:space="0" w:color="auto"/>
        <w:bottom w:val="none" w:sz="0" w:space="0" w:color="auto"/>
        <w:right w:val="none" w:sz="0" w:space="0" w:color="auto"/>
      </w:divBdr>
    </w:div>
    <w:div w:id="1617328140">
      <w:bodyDiv w:val="1"/>
      <w:marLeft w:val="0"/>
      <w:marRight w:val="0"/>
      <w:marTop w:val="0"/>
      <w:marBottom w:val="0"/>
      <w:divBdr>
        <w:top w:val="none" w:sz="0" w:space="0" w:color="auto"/>
        <w:left w:val="none" w:sz="0" w:space="0" w:color="auto"/>
        <w:bottom w:val="none" w:sz="0" w:space="0" w:color="auto"/>
        <w:right w:val="none" w:sz="0" w:space="0" w:color="auto"/>
      </w:divBdr>
    </w:div>
    <w:div w:id="1940481690">
      <w:bodyDiv w:val="1"/>
      <w:marLeft w:val="0"/>
      <w:marRight w:val="0"/>
      <w:marTop w:val="0"/>
      <w:marBottom w:val="0"/>
      <w:divBdr>
        <w:top w:val="none" w:sz="0" w:space="0" w:color="auto"/>
        <w:left w:val="none" w:sz="0" w:space="0" w:color="auto"/>
        <w:bottom w:val="none" w:sz="0" w:space="0" w:color="auto"/>
        <w:right w:val="none" w:sz="0" w:space="0" w:color="auto"/>
      </w:divBdr>
      <w:divsChild>
        <w:div w:id="1553537776">
          <w:marLeft w:val="0"/>
          <w:marRight w:val="0"/>
          <w:marTop w:val="0"/>
          <w:marBottom w:val="0"/>
          <w:divBdr>
            <w:top w:val="none" w:sz="0" w:space="0" w:color="auto"/>
            <w:left w:val="none" w:sz="0" w:space="0" w:color="auto"/>
            <w:bottom w:val="none" w:sz="0" w:space="0" w:color="auto"/>
            <w:right w:val="none" w:sz="0" w:space="0" w:color="auto"/>
          </w:divBdr>
          <w:divsChild>
            <w:div w:id="1450049902">
              <w:marLeft w:val="0"/>
              <w:marRight w:val="0"/>
              <w:marTop w:val="0"/>
              <w:marBottom w:val="0"/>
              <w:divBdr>
                <w:top w:val="none" w:sz="0" w:space="0" w:color="auto"/>
                <w:left w:val="none" w:sz="0" w:space="0" w:color="auto"/>
                <w:bottom w:val="none" w:sz="0" w:space="0" w:color="auto"/>
                <w:right w:val="none" w:sz="0" w:space="0" w:color="auto"/>
              </w:divBdr>
              <w:divsChild>
                <w:div w:id="55851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155599">
          <w:marLeft w:val="0"/>
          <w:marRight w:val="0"/>
          <w:marTop w:val="0"/>
          <w:marBottom w:val="0"/>
          <w:divBdr>
            <w:top w:val="none" w:sz="0" w:space="0" w:color="auto"/>
            <w:left w:val="none" w:sz="0" w:space="0" w:color="auto"/>
            <w:bottom w:val="none" w:sz="0" w:space="0" w:color="auto"/>
            <w:right w:val="none" w:sz="0" w:space="0" w:color="auto"/>
          </w:divBdr>
          <w:divsChild>
            <w:div w:id="185099275">
              <w:marLeft w:val="0"/>
              <w:marRight w:val="0"/>
              <w:marTop w:val="0"/>
              <w:marBottom w:val="0"/>
              <w:divBdr>
                <w:top w:val="none" w:sz="0" w:space="0" w:color="auto"/>
                <w:left w:val="none" w:sz="0" w:space="0" w:color="auto"/>
                <w:bottom w:val="none" w:sz="0" w:space="0" w:color="auto"/>
                <w:right w:val="none" w:sz="0" w:space="0" w:color="auto"/>
              </w:divBdr>
              <w:divsChild>
                <w:div w:id="173939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402363">
          <w:marLeft w:val="0"/>
          <w:marRight w:val="0"/>
          <w:marTop w:val="0"/>
          <w:marBottom w:val="0"/>
          <w:divBdr>
            <w:top w:val="none" w:sz="0" w:space="0" w:color="auto"/>
            <w:left w:val="none" w:sz="0" w:space="0" w:color="auto"/>
            <w:bottom w:val="none" w:sz="0" w:space="0" w:color="auto"/>
            <w:right w:val="none" w:sz="0" w:space="0" w:color="auto"/>
          </w:divBdr>
          <w:divsChild>
            <w:div w:id="1555896110">
              <w:marLeft w:val="0"/>
              <w:marRight w:val="0"/>
              <w:marTop w:val="0"/>
              <w:marBottom w:val="0"/>
              <w:divBdr>
                <w:top w:val="none" w:sz="0" w:space="0" w:color="auto"/>
                <w:left w:val="none" w:sz="0" w:space="0" w:color="auto"/>
                <w:bottom w:val="none" w:sz="0" w:space="0" w:color="auto"/>
                <w:right w:val="none" w:sz="0" w:space="0" w:color="auto"/>
              </w:divBdr>
              <w:divsChild>
                <w:div w:id="54232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048317">
          <w:marLeft w:val="0"/>
          <w:marRight w:val="0"/>
          <w:marTop w:val="0"/>
          <w:marBottom w:val="0"/>
          <w:divBdr>
            <w:top w:val="none" w:sz="0" w:space="0" w:color="auto"/>
            <w:left w:val="none" w:sz="0" w:space="0" w:color="auto"/>
            <w:bottom w:val="none" w:sz="0" w:space="0" w:color="auto"/>
            <w:right w:val="none" w:sz="0" w:space="0" w:color="auto"/>
          </w:divBdr>
          <w:divsChild>
            <w:div w:id="379983047">
              <w:marLeft w:val="0"/>
              <w:marRight w:val="0"/>
              <w:marTop w:val="0"/>
              <w:marBottom w:val="0"/>
              <w:divBdr>
                <w:top w:val="none" w:sz="0" w:space="0" w:color="auto"/>
                <w:left w:val="none" w:sz="0" w:space="0" w:color="auto"/>
                <w:bottom w:val="none" w:sz="0" w:space="0" w:color="auto"/>
                <w:right w:val="none" w:sz="0" w:space="0" w:color="auto"/>
              </w:divBdr>
              <w:divsChild>
                <w:div w:id="1665622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598267">
          <w:marLeft w:val="0"/>
          <w:marRight w:val="0"/>
          <w:marTop w:val="0"/>
          <w:marBottom w:val="0"/>
          <w:divBdr>
            <w:top w:val="none" w:sz="0" w:space="0" w:color="auto"/>
            <w:left w:val="none" w:sz="0" w:space="0" w:color="auto"/>
            <w:bottom w:val="none" w:sz="0" w:space="0" w:color="auto"/>
            <w:right w:val="none" w:sz="0" w:space="0" w:color="auto"/>
          </w:divBdr>
          <w:divsChild>
            <w:div w:id="1992633424">
              <w:marLeft w:val="0"/>
              <w:marRight w:val="0"/>
              <w:marTop w:val="0"/>
              <w:marBottom w:val="0"/>
              <w:divBdr>
                <w:top w:val="none" w:sz="0" w:space="0" w:color="auto"/>
                <w:left w:val="none" w:sz="0" w:space="0" w:color="auto"/>
                <w:bottom w:val="none" w:sz="0" w:space="0" w:color="auto"/>
                <w:right w:val="none" w:sz="0" w:space="0" w:color="auto"/>
              </w:divBdr>
              <w:divsChild>
                <w:div w:id="88271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932861">
          <w:marLeft w:val="0"/>
          <w:marRight w:val="0"/>
          <w:marTop w:val="0"/>
          <w:marBottom w:val="0"/>
          <w:divBdr>
            <w:top w:val="none" w:sz="0" w:space="0" w:color="auto"/>
            <w:left w:val="none" w:sz="0" w:space="0" w:color="auto"/>
            <w:bottom w:val="none" w:sz="0" w:space="0" w:color="auto"/>
            <w:right w:val="none" w:sz="0" w:space="0" w:color="auto"/>
          </w:divBdr>
          <w:divsChild>
            <w:div w:id="372075266">
              <w:marLeft w:val="0"/>
              <w:marRight w:val="0"/>
              <w:marTop w:val="0"/>
              <w:marBottom w:val="0"/>
              <w:divBdr>
                <w:top w:val="none" w:sz="0" w:space="0" w:color="auto"/>
                <w:left w:val="none" w:sz="0" w:space="0" w:color="auto"/>
                <w:bottom w:val="none" w:sz="0" w:space="0" w:color="auto"/>
                <w:right w:val="none" w:sz="0" w:space="0" w:color="auto"/>
              </w:divBdr>
              <w:divsChild>
                <w:div w:id="700209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70661">
          <w:marLeft w:val="0"/>
          <w:marRight w:val="0"/>
          <w:marTop w:val="0"/>
          <w:marBottom w:val="0"/>
          <w:divBdr>
            <w:top w:val="none" w:sz="0" w:space="0" w:color="auto"/>
            <w:left w:val="none" w:sz="0" w:space="0" w:color="auto"/>
            <w:bottom w:val="none" w:sz="0" w:space="0" w:color="auto"/>
            <w:right w:val="none" w:sz="0" w:space="0" w:color="auto"/>
          </w:divBdr>
          <w:divsChild>
            <w:div w:id="2108501355">
              <w:marLeft w:val="0"/>
              <w:marRight w:val="0"/>
              <w:marTop w:val="0"/>
              <w:marBottom w:val="0"/>
              <w:divBdr>
                <w:top w:val="none" w:sz="0" w:space="0" w:color="auto"/>
                <w:left w:val="none" w:sz="0" w:space="0" w:color="auto"/>
                <w:bottom w:val="none" w:sz="0" w:space="0" w:color="auto"/>
                <w:right w:val="none" w:sz="0" w:space="0" w:color="auto"/>
              </w:divBdr>
              <w:divsChild>
                <w:div w:id="195409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1468">
          <w:marLeft w:val="0"/>
          <w:marRight w:val="0"/>
          <w:marTop w:val="0"/>
          <w:marBottom w:val="0"/>
          <w:divBdr>
            <w:top w:val="none" w:sz="0" w:space="0" w:color="auto"/>
            <w:left w:val="none" w:sz="0" w:space="0" w:color="auto"/>
            <w:bottom w:val="none" w:sz="0" w:space="0" w:color="auto"/>
            <w:right w:val="none" w:sz="0" w:space="0" w:color="auto"/>
          </w:divBdr>
          <w:divsChild>
            <w:div w:id="1416823873">
              <w:marLeft w:val="0"/>
              <w:marRight w:val="0"/>
              <w:marTop w:val="0"/>
              <w:marBottom w:val="0"/>
              <w:divBdr>
                <w:top w:val="none" w:sz="0" w:space="0" w:color="auto"/>
                <w:left w:val="none" w:sz="0" w:space="0" w:color="auto"/>
                <w:bottom w:val="none" w:sz="0" w:space="0" w:color="auto"/>
                <w:right w:val="none" w:sz="0" w:space="0" w:color="auto"/>
              </w:divBdr>
              <w:divsChild>
                <w:div w:id="493254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613816">
          <w:marLeft w:val="0"/>
          <w:marRight w:val="0"/>
          <w:marTop w:val="0"/>
          <w:marBottom w:val="0"/>
          <w:divBdr>
            <w:top w:val="none" w:sz="0" w:space="0" w:color="auto"/>
            <w:left w:val="none" w:sz="0" w:space="0" w:color="auto"/>
            <w:bottom w:val="none" w:sz="0" w:space="0" w:color="auto"/>
            <w:right w:val="none" w:sz="0" w:space="0" w:color="auto"/>
          </w:divBdr>
          <w:divsChild>
            <w:div w:id="209732225">
              <w:marLeft w:val="0"/>
              <w:marRight w:val="0"/>
              <w:marTop w:val="0"/>
              <w:marBottom w:val="0"/>
              <w:divBdr>
                <w:top w:val="none" w:sz="0" w:space="0" w:color="auto"/>
                <w:left w:val="none" w:sz="0" w:space="0" w:color="auto"/>
                <w:bottom w:val="none" w:sz="0" w:space="0" w:color="auto"/>
                <w:right w:val="none" w:sz="0" w:space="0" w:color="auto"/>
              </w:divBdr>
              <w:divsChild>
                <w:div w:id="204258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047565">
          <w:marLeft w:val="0"/>
          <w:marRight w:val="0"/>
          <w:marTop w:val="0"/>
          <w:marBottom w:val="0"/>
          <w:divBdr>
            <w:top w:val="none" w:sz="0" w:space="0" w:color="auto"/>
            <w:left w:val="none" w:sz="0" w:space="0" w:color="auto"/>
            <w:bottom w:val="none" w:sz="0" w:space="0" w:color="auto"/>
            <w:right w:val="none" w:sz="0" w:space="0" w:color="auto"/>
          </w:divBdr>
          <w:divsChild>
            <w:div w:id="833640699">
              <w:marLeft w:val="0"/>
              <w:marRight w:val="0"/>
              <w:marTop w:val="0"/>
              <w:marBottom w:val="0"/>
              <w:divBdr>
                <w:top w:val="none" w:sz="0" w:space="0" w:color="auto"/>
                <w:left w:val="none" w:sz="0" w:space="0" w:color="auto"/>
                <w:bottom w:val="none" w:sz="0" w:space="0" w:color="auto"/>
                <w:right w:val="none" w:sz="0" w:space="0" w:color="auto"/>
              </w:divBdr>
              <w:divsChild>
                <w:div w:id="101176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706947">
          <w:marLeft w:val="0"/>
          <w:marRight w:val="0"/>
          <w:marTop w:val="0"/>
          <w:marBottom w:val="0"/>
          <w:divBdr>
            <w:top w:val="none" w:sz="0" w:space="0" w:color="auto"/>
            <w:left w:val="none" w:sz="0" w:space="0" w:color="auto"/>
            <w:bottom w:val="none" w:sz="0" w:space="0" w:color="auto"/>
            <w:right w:val="none" w:sz="0" w:space="0" w:color="auto"/>
          </w:divBdr>
          <w:divsChild>
            <w:div w:id="1521696096">
              <w:marLeft w:val="0"/>
              <w:marRight w:val="0"/>
              <w:marTop w:val="0"/>
              <w:marBottom w:val="0"/>
              <w:divBdr>
                <w:top w:val="none" w:sz="0" w:space="0" w:color="auto"/>
                <w:left w:val="none" w:sz="0" w:space="0" w:color="auto"/>
                <w:bottom w:val="none" w:sz="0" w:space="0" w:color="auto"/>
                <w:right w:val="none" w:sz="0" w:space="0" w:color="auto"/>
              </w:divBdr>
              <w:divsChild>
                <w:div w:id="140525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493782">
          <w:marLeft w:val="0"/>
          <w:marRight w:val="0"/>
          <w:marTop w:val="0"/>
          <w:marBottom w:val="0"/>
          <w:divBdr>
            <w:top w:val="none" w:sz="0" w:space="0" w:color="auto"/>
            <w:left w:val="none" w:sz="0" w:space="0" w:color="auto"/>
            <w:bottom w:val="none" w:sz="0" w:space="0" w:color="auto"/>
            <w:right w:val="none" w:sz="0" w:space="0" w:color="auto"/>
          </w:divBdr>
          <w:divsChild>
            <w:div w:id="1869440729">
              <w:marLeft w:val="0"/>
              <w:marRight w:val="0"/>
              <w:marTop w:val="0"/>
              <w:marBottom w:val="0"/>
              <w:divBdr>
                <w:top w:val="none" w:sz="0" w:space="0" w:color="auto"/>
                <w:left w:val="none" w:sz="0" w:space="0" w:color="auto"/>
                <w:bottom w:val="none" w:sz="0" w:space="0" w:color="auto"/>
                <w:right w:val="none" w:sz="0" w:space="0" w:color="auto"/>
              </w:divBdr>
              <w:divsChild>
                <w:div w:id="83233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935851">
          <w:marLeft w:val="0"/>
          <w:marRight w:val="0"/>
          <w:marTop w:val="0"/>
          <w:marBottom w:val="0"/>
          <w:divBdr>
            <w:top w:val="none" w:sz="0" w:space="0" w:color="auto"/>
            <w:left w:val="none" w:sz="0" w:space="0" w:color="auto"/>
            <w:bottom w:val="none" w:sz="0" w:space="0" w:color="auto"/>
            <w:right w:val="none" w:sz="0" w:space="0" w:color="auto"/>
          </w:divBdr>
          <w:divsChild>
            <w:div w:id="527446067">
              <w:marLeft w:val="0"/>
              <w:marRight w:val="0"/>
              <w:marTop w:val="0"/>
              <w:marBottom w:val="0"/>
              <w:divBdr>
                <w:top w:val="none" w:sz="0" w:space="0" w:color="auto"/>
                <w:left w:val="none" w:sz="0" w:space="0" w:color="auto"/>
                <w:bottom w:val="none" w:sz="0" w:space="0" w:color="auto"/>
                <w:right w:val="none" w:sz="0" w:space="0" w:color="auto"/>
              </w:divBdr>
              <w:divsChild>
                <w:div w:id="60511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333234">
          <w:marLeft w:val="0"/>
          <w:marRight w:val="0"/>
          <w:marTop w:val="0"/>
          <w:marBottom w:val="0"/>
          <w:divBdr>
            <w:top w:val="none" w:sz="0" w:space="0" w:color="auto"/>
            <w:left w:val="none" w:sz="0" w:space="0" w:color="auto"/>
            <w:bottom w:val="none" w:sz="0" w:space="0" w:color="auto"/>
            <w:right w:val="none" w:sz="0" w:space="0" w:color="auto"/>
          </w:divBdr>
          <w:divsChild>
            <w:div w:id="1021933396">
              <w:marLeft w:val="0"/>
              <w:marRight w:val="0"/>
              <w:marTop w:val="0"/>
              <w:marBottom w:val="0"/>
              <w:divBdr>
                <w:top w:val="none" w:sz="0" w:space="0" w:color="auto"/>
                <w:left w:val="none" w:sz="0" w:space="0" w:color="auto"/>
                <w:bottom w:val="none" w:sz="0" w:space="0" w:color="auto"/>
                <w:right w:val="none" w:sz="0" w:space="0" w:color="auto"/>
              </w:divBdr>
              <w:divsChild>
                <w:div w:id="149162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19785">
          <w:marLeft w:val="0"/>
          <w:marRight w:val="0"/>
          <w:marTop w:val="0"/>
          <w:marBottom w:val="0"/>
          <w:divBdr>
            <w:top w:val="none" w:sz="0" w:space="0" w:color="auto"/>
            <w:left w:val="none" w:sz="0" w:space="0" w:color="auto"/>
            <w:bottom w:val="none" w:sz="0" w:space="0" w:color="auto"/>
            <w:right w:val="none" w:sz="0" w:space="0" w:color="auto"/>
          </w:divBdr>
          <w:divsChild>
            <w:div w:id="243686240">
              <w:marLeft w:val="0"/>
              <w:marRight w:val="0"/>
              <w:marTop w:val="0"/>
              <w:marBottom w:val="0"/>
              <w:divBdr>
                <w:top w:val="none" w:sz="0" w:space="0" w:color="auto"/>
                <w:left w:val="none" w:sz="0" w:space="0" w:color="auto"/>
                <w:bottom w:val="none" w:sz="0" w:space="0" w:color="auto"/>
                <w:right w:val="none" w:sz="0" w:space="0" w:color="auto"/>
              </w:divBdr>
              <w:divsChild>
                <w:div w:id="988287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494482">
          <w:marLeft w:val="0"/>
          <w:marRight w:val="0"/>
          <w:marTop w:val="0"/>
          <w:marBottom w:val="0"/>
          <w:divBdr>
            <w:top w:val="none" w:sz="0" w:space="0" w:color="auto"/>
            <w:left w:val="none" w:sz="0" w:space="0" w:color="auto"/>
            <w:bottom w:val="none" w:sz="0" w:space="0" w:color="auto"/>
            <w:right w:val="none" w:sz="0" w:space="0" w:color="auto"/>
          </w:divBdr>
          <w:divsChild>
            <w:div w:id="342780590">
              <w:marLeft w:val="0"/>
              <w:marRight w:val="0"/>
              <w:marTop w:val="0"/>
              <w:marBottom w:val="0"/>
              <w:divBdr>
                <w:top w:val="none" w:sz="0" w:space="0" w:color="auto"/>
                <w:left w:val="none" w:sz="0" w:space="0" w:color="auto"/>
                <w:bottom w:val="none" w:sz="0" w:space="0" w:color="auto"/>
                <w:right w:val="none" w:sz="0" w:space="0" w:color="auto"/>
              </w:divBdr>
              <w:divsChild>
                <w:div w:id="1194806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540693">
          <w:marLeft w:val="0"/>
          <w:marRight w:val="0"/>
          <w:marTop w:val="0"/>
          <w:marBottom w:val="0"/>
          <w:divBdr>
            <w:top w:val="none" w:sz="0" w:space="0" w:color="auto"/>
            <w:left w:val="none" w:sz="0" w:space="0" w:color="auto"/>
            <w:bottom w:val="none" w:sz="0" w:space="0" w:color="auto"/>
            <w:right w:val="none" w:sz="0" w:space="0" w:color="auto"/>
          </w:divBdr>
          <w:divsChild>
            <w:div w:id="378482949">
              <w:marLeft w:val="0"/>
              <w:marRight w:val="0"/>
              <w:marTop w:val="0"/>
              <w:marBottom w:val="0"/>
              <w:divBdr>
                <w:top w:val="none" w:sz="0" w:space="0" w:color="auto"/>
                <w:left w:val="none" w:sz="0" w:space="0" w:color="auto"/>
                <w:bottom w:val="none" w:sz="0" w:space="0" w:color="auto"/>
                <w:right w:val="none" w:sz="0" w:space="0" w:color="auto"/>
              </w:divBdr>
              <w:divsChild>
                <w:div w:id="70433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855505">
          <w:marLeft w:val="0"/>
          <w:marRight w:val="0"/>
          <w:marTop w:val="0"/>
          <w:marBottom w:val="0"/>
          <w:divBdr>
            <w:top w:val="none" w:sz="0" w:space="0" w:color="auto"/>
            <w:left w:val="none" w:sz="0" w:space="0" w:color="auto"/>
            <w:bottom w:val="none" w:sz="0" w:space="0" w:color="auto"/>
            <w:right w:val="none" w:sz="0" w:space="0" w:color="auto"/>
          </w:divBdr>
          <w:divsChild>
            <w:div w:id="1070806782">
              <w:marLeft w:val="0"/>
              <w:marRight w:val="0"/>
              <w:marTop w:val="0"/>
              <w:marBottom w:val="0"/>
              <w:divBdr>
                <w:top w:val="none" w:sz="0" w:space="0" w:color="auto"/>
                <w:left w:val="none" w:sz="0" w:space="0" w:color="auto"/>
                <w:bottom w:val="none" w:sz="0" w:space="0" w:color="auto"/>
                <w:right w:val="none" w:sz="0" w:space="0" w:color="auto"/>
              </w:divBdr>
              <w:divsChild>
                <w:div w:id="54684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844163">
          <w:marLeft w:val="0"/>
          <w:marRight w:val="0"/>
          <w:marTop w:val="0"/>
          <w:marBottom w:val="0"/>
          <w:divBdr>
            <w:top w:val="none" w:sz="0" w:space="0" w:color="auto"/>
            <w:left w:val="none" w:sz="0" w:space="0" w:color="auto"/>
            <w:bottom w:val="none" w:sz="0" w:space="0" w:color="auto"/>
            <w:right w:val="none" w:sz="0" w:space="0" w:color="auto"/>
          </w:divBdr>
          <w:divsChild>
            <w:div w:id="1740665281">
              <w:marLeft w:val="0"/>
              <w:marRight w:val="0"/>
              <w:marTop w:val="0"/>
              <w:marBottom w:val="0"/>
              <w:divBdr>
                <w:top w:val="none" w:sz="0" w:space="0" w:color="auto"/>
                <w:left w:val="none" w:sz="0" w:space="0" w:color="auto"/>
                <w:bottom w:val="none" w:sz="0" w:space="0" w:color="auto"/>
                <w:right w:val="none" w:sz="0" w:space="0" w:color="auto"/>
              </w:divBdr>
              <w:divsChild>
                <w:div w:id="45107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053589">
          <w:marLeft w:val="0"/>
          <w:marRight w:val="0"/>
          <w:marTop w:val="0"/>
          <w:marBottom w:val="0"/>
          <w:divBdr>
            <w:top w:val="none" w:sz="0" w:space="0" w:color="auto"/>
            <w:left w:val="none" w:sz="0" w:space="0" w:color="auto"/>
            <w:bottom w:val="none" w:sz="0" w:space="0" w:color="auto"/>
            <w:right w:val="none" w:sz="0" w:space="0" w:color="auto"/>
          </w:divBdr>
          <w:divsChild>
            <w:div w:id="225457403">
              <w:marLeft w:val="0"/>
              <w:marRight w:val="0"/>
              <w:marTop w:val="0"/>
              <w:marBottom w:val="0"/>
              <w:divBdr>
                <w:top w:val="none" w:sz="0" w:space="0" w:color="auto"/>
                <w:left w:val="none" w:sz="0" w:space="0" w:color="auto"/>
                <w:bottom w:val="none" w:sz="0" w:space="0" w:color="auto"/>
                <w:right w:val="none" w:sz="0" w:space="0" w:color="auto"/>
              </w:divBdr>
              <w:divsChild>
                <w:div w:id="213012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74991">
          <w:marLeft w:val="0"/>
          <w:marRight w:val="0"/>
          <w:marTop w:val="0"/>
          <w:marBottom w:val="0"/>
          <w:divBdr>
            <w:top w:val="none" w:sz="0" w:space="0" w:color="auto"/>
            <w:left w:val="none" w:sz="0" w:space="0" w:color="auto"/>
            <w:bottom w:val="none" w:sz="0" w:space="0" w:color="auto"/>
            <w:right w:val="none" w:sz="0" w:space="0" w:color="auto"/>
          </w:divBdr>
          <w:divsChild>
            <w:div w:id="1753307816">
              <w:marLeft w:val="0"/>
              <w:marRight w:val="0"/>
              <w:marTop w:val="0"/>
              <w:marBottom w:val="0"/>
              <w:divBdr>
                <w:top w:val="none" w:sz="0" w:space="0" w:color="auto"/>
                <w:left w:val="none" w:sz="0" w:space="0" w:color="auto"/>
                <w:bottom w:val="none" w:sz="0" w:space="0" w:color="auto"/>
                <w:right w:val="none" w:sz="0" w:space="0" w:color="auto"/>
              </w:divBdr>
              <w:divsChild>
                <w:div w:id="180404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764765">
          <w:marLeft w:val="0"/>
          <w:marRight w:val="0"/>
          <w:marTop w:val="0"/>
          <w:marBottom w:val="0"/>
          <w:divBdr>
            <w:top w:val="none" w:sz="0" w:space="0" w:color="auto"/>
            <w:left w:val="none" w:sz="0" w:space="0" w:color="auto"/>
            <w:bottom w:val="none" w:sz="0" w:space="0" w:color="auto"/>
            <w:right w:val="none" w:sz="0" w:space="0" w:color="auto"/>
          </w:divBdr>
          <w:divsChild>
            <w:div w:id="1881428920">
              <w:marLeft w:val="0"/>
              <w:marRight w:val="0"/>
              <w:marTop w:val="0"/>
              <w:marBottom w:val="0"/>
              <w:divBdr>
                <w:top w:val="none" w:sz="0" w:space="0" w:color="auto"/>
                <w:left w:val="none" w:sz="0" w:space="0" w:color="auto"/>
                <w:bottom w:val="none" w:sz="0" w:space="0" w:color="auto"/>
                <w:right w:val="none" w:sz="0" w:space="0" w:color="auto"/>
              </w:divBdr>
              <w:divsChild>
                <w:div w:id="163919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38499">
          <w:marLeft w:val="0"/>
          <w:marRight w:val="0"/>
          <w:marTop w:val="0"/>
          <w:marBottom w:val="0"/>
          <w:divBdr>
            <w:top w:val="none" w:sz="0" w:space="0" w:color="auto"/>
            <w:left w:val="none" w:sz="0" w:space="0" w:color="auto"/>
            <w:bottom w:val="none" w:sz="0" w:space="0" w:color="auto"/>
            <w:right w:val="none" w:sz="0" w:space="0" w:color="auto"/>
          </w:divBdr>
          <w:divsChild>
            <w:div w:id="1568759978">
              <w:marLeft w:val="0"/>
              <w:marRight w:val="0"/>
              <w:marTop w:val="0"/>
              <w:marBottom w:val="0"/>
              <w:divBdr>
                <w:top w:val="none" w:sz="0" w:space="0" w:color="auto"/>
                <w:left w:val="none" w:sz="0" w:space="0" w:color="auto"/>
                <w:bottom w:val="none" w:sz="0" w:space="0" w:color="auto"/>
                <w:right w:val="none" w:sz="0" w:space="0" w:color="auto"/>
              </w:divBdr>
              <w:divsChild>
                <w:div w:id="503979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069859">
          <w:marLeft w:val="0"/>
          <w:marRight w:val="0"/>
          <w:marTop w:val="0"/>
          <w:marBottom w:val="0"/>
          <w:divBdr>
            <w:top w:val="none" w:sz="0" w:space="0" w:color="auto"/>
            <w:left w:val="none" w:sz="0" w:space="0" w:color="auto"/>
            <w:bottom w:val="none" w:sz="0" w:space="0" w:color="auto"/>
            <w:right w:val="none" w:sz="0" w:space="0" w:color="auto"/>
          </w:divBdr>
          <w:divsChild>
            <w:div w:id="1788812154">
              <w:marLeft w:val="0"/>
              <w:marRight w:val="0"/>
              <w:marTop w:val="0"/>
              <w:marBottom w:val="0"/>
              <w:divBdr>
                <w:top w:val="none" w:sz="0" w:space="0" w:color="auto"/>
                <w:left w:val="none" w:sz="0" w:space="0" w:color="auto"/>
                <w:bottom w:val="none" w:sz="0" w:space="0" w:color="auto"/>
                <w:right w:val="none" w:sz="0" w:space="0" w:color="auto"/>
              </w:divBdr>
              <w:divsChild>
                <w:div w:id="1621912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790616">
          <w:marLeft w:val="0"/>
          <w:marRight w:val="0"/>
          <w:marTop w:val="0"/>
          <w:marBottom w:val="0"/>
          <w:divBdr>
            <w:top w:val="none" w:sz="0" w:space="0" w:color="auto"/>
            <w:left w:val="none" w:sz="0" w:space="0" w:color="auto"/>
            <w:bottom w:val="none" w:sz="0" w:space="0" w:color="auto"/>
            <w:right w:val="none" w:sz="0" w:space="0" w:color="auto"/>
          </w:divBdr>
          <w:divsChild>
            <w:div w:id="600141269">
              <w:marLeft w:val="0"/>
              <w:marRight w:val="0"/>
              <w:marTop w:val="0"/>
              <w:marBottom w:val="0"/>
              <w:divBdr>
                <w:top w:val="none" w:sz="0" w:space="0" w:color="auto"/>
                <w:left w:val="none" w:sz="0" w:space="0" w:color="auto"/>
                <w:bottom w:val="none" w:sz="0" w:space="0" w:color="auto"/>
                <w:right w:val="none" w:sz="0" w:space="0" w:color="auto"/>
              </w:divBdr>
              <w:divsChild>
                <w:div w:id="162661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969499">
          <w:marLeft w:val="0"/>
          <w:marRight w:val="0"/>
          <w:marTop w:val="0"/>
          <w:marBottom w:val="0"/>
          <w:divBdr>
            <w:top w:val="none" w:sz="0" w:space="0" w:color="auto"/>
            <w:left w:val="none" w:sz="0" w:space="0" w:color="auto"/>
            <w:bottom w:val="none" w:sz="0" w:space="0" w:color="auto"/>
            <w:right w:val="none" w:sz="0" w:space="0" w:color="auto"/>
          </w:divBdr>
          <w:divsChild>
            <w:div w:id="1777947420">
              <w:marLeft w:val="0"/>
              <w:marRight w:val="0"/>
              <w:marTop w:val="0"/>
              <w:marBottom w:val="0"/>
              <w:divBdr>
                <w:top w:val="none" w:sz="0" w:space="0" w:color="auto"/>
                <w:left w:val="none" w:sz="0" w:space="0" w:color="auto"/>
                <w:bottom w:val="none" w:sz="0" w:space="0" w:color="auto"/>
                <w:right w:val="none" w:sz="0" w:space="0" w:color="auto"/>
              </w:divBdr>
              <w:divsChild>
                <w:div w:id="117645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817378">
          <w:marLeft w:val="0"/>
          <w:marRight w:val="0"/>
          <w:marTop w:val="0"/>
          <w:marBottom w:val="0"/>
          <w:divBdr>
            <w:top w:val="none" w:sz="0" w:space="0" w:color="auto"/>
            <w:left w:val="none" w:sz="0" w:space="0" w:color="auto"/>
            <w:bottom w:val="none" w:sz="0" w:space="0" w:color="auto"/>
            <w:right w:val="none" w:sz="0" w:space="0" w:color="auto"/>
          </w:divBdr>
          <w:divsChild>
            <w:div w:id="1848667349">
              <w:marLeft w:val="0"/>
              <w:marRight w:val="0"/>
              <w:marTop w:val="0"/>
              <w:marBottom w:val="0"/>
              <w:divBdr>
                <w:top w:val="none" w:sz="0" w:space="0" w:color="auto"/>
                <w:left w:val="none" w:sz="0" w:space="0" w:color="auto"/>
                <w:bottom w:val="none" w:sz="0" w:space="0" w:color="auto"/>
                <w:right w:val="none" w:sz="0" w:space="0" w:color="auto"/>
              </w:divBdr>
              <w:divsChild>
                <w:div w:id="512381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794119">
          <w:marLeft w:val="0"/>
          <w:marRight w:val="0"/>
          <w:marTop w:val="0"/>
          <w:marBottom w:val="0"/>
          <w:divBdr>
            <w:top w:val="none" w:sz="0" w:space="0" w:color="auto"/>
            <w:left w:val="none" w:sz="0" w:space="0" w:color="auto"/>
            <w:bottom w:val="none" w:sz="0" w:space="0" w:color="auto"/>
            <w:right w:val="none" w:sz="0" w:space="0" w:color="auto"/>
          </w:divBdr>
          <w:divsChild>
            <w:div w:id="2124030600">
              <w:marLeft w:val="0"/>
              <w:marRight w:val="0"/>
              <w:marTop w:val="0"/>
              <w:marBottom w:val="0"/>
              <w:divBdr>
                <w:top w:val="none" w:sz="0" w:space="0" w:color="auto"/>
                <w:left w:val="none" w:sz="0" w:space="0" w:color="auto"/>
                <w:bottom w:val="none" w:sz="0" w:space="0" w:color="auto"/>
                <w:right w:val="none" w:sz="0" w:space="0" w:color="auto"/>
              </w:divBdr>
              <w:divsChild>
                <w:div w:id="95093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261232">
          <w:marLeft w:val="0"/>
          <w:marRight w:val="0"/>
          <w:marTop w:val="0"/>
          <w:marBottom w:val="0"/>
          <w:divBdr>
            <w:top w:val="none" w:sz="0" w:space="0" w:color="auto"/>
            <w:left w:val="none" w:sz="0" w:space="0" w:color="auto"/>
            <w:bottom w:val="none" w:sz="0" w:space="0" w:color="auto"/>
            <w:right w:val="none" w:sz="0" w:space="0" w:color="auto"/>
          </w:divBdr>
          <w:divsChild>
            <w:div w:id="1042368094">
              <w:marLeft w:val="0"/>
              <w:marRight w:val="0"/>
              <w:marTop w:val="0"/>
              <w:marBottom w:val="0"/>
              <w:divBdr>
                <w:top w:val="none" w:sz="0" w:space="0" w:color="auto"/>
                <w:left w:val="none" w:sz="0" w:space="0" w:color="auto"/>
                <w:bottom w:val="none" w:sz="0" w:space="0" w:color="auto"/>
                <w:right w:val="none" w:sz="0" w:space="0" w:color="auto"/>
              </w:divBdr>
              <w:divsChild>
                <w:div w:id="91868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297616">
          <w:marLeft w:val="0"/>
          <w:marRight w:val="0"/>
          <w:marTop w:val="0"/>
          <w:marBottom w:val="0"/>
          <w:divBdr>
            <w:top w:val="none" w:sz="0" w:space="0" w:color="auto"/>
            <w:left w:val="none" w:sz="0" w:space="0" w:color="auto"/>
            <w:bottom w:val="none" w:sz="0" w:space="0" w:color="auto"/>
            <w:right w:val="none" w:sz="0" w:space="0" w:color="auto"/>
          </w:divBdr>
          <w:divsChild>
            <w:div w:id="1342393209">
              <w:marLeft w:val="0"/>
              <w:marRight w:val="0"/>
              <w:marTop w:val="0"/>
              <w:marBottom w:val="0"/>
              <w:divBdr>
                <w:top w:val="none" w:sz="0" w:space="0" w:color="auto"/>
                <w:left w:val="none" w:sz="0" w:space="0" w:color="auto"/>
                <w:bottom w:val="none" w:sz="0" w:space="0" w:color="auto"/>
                <w:right w:val="none" w:sz="0" w:space="0" w:color="auto"/>
              </w:divBdr>
              <w:divsChild>
                <w:div w:id="140190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165729">
          <w:marLeft w:val="0"/>
          <w:marRight w:val="0"/>
          <w:marTop w:val="0"/>
          <w:marBottom w:val="0"/>
          <w:divBdr>
            <w:top w:val="none" w:sz="0" w:space="0" w:color="auto"/>
            <w:left w:val="none" w:sz="0" w:space="0" w:color="auto"/>
            <w:bottom w:val="none" w:sz="0" w:space="0" w:color="auto"/>
            <w:right w:val="none" w:sz="0" w:space="0" w:color="auto"/>
          </w:divBdr>
          <w:divsChild>
            <w:div w:id="372271016">
              <w:marLeft w:val="0"/>
              <w:marRight w:val="0"/>
              <w:marTop w:val="0"/>
              <w:marBottom w:val="0"/>
              <w:divBdr>
                <w:top w:val="none" w:sz="0" w:space="0" w:color="auto"/>
                <w:left w:val="none" w:sz="0" w:space="0" w:color="auto"/>
                <w:bottom w:val="none" w:sz="0" w:space="0" w:color="auto"/>
                <w:right w:val="none" w:sz="0" w:space="0" w:color="auto"/>
              </w:divBdr>
              <w:divsChild>
                <w:div w:id="187907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604324">
          <w:marLeft w:val="0"/>
          <w:marRight w:val="0"/>
          <w:marTop w:val="0"/>
          <w:marBottom w:val="0"/>
          <w:divBdr>
            <w:top w:val="none" w:sz="0" w:space="0" w:color="auto"/>
            <w:left w:val="none" w:sz="0" w:space="0" w:color="auto"/>
            <w:bottom w:val="none" w:sz="0" w:space="0" w:color="auto"/>
            <w:right w:val="none" w:sz="0" w:space="0" w:color="auto"/>
          </w:divBdr>
          <w:divsChild>
            <w:div w:id="2087723232">
              <w:marLeft w:val="0"/>
              <w:marRight w:val="0"/>
              <w:marTop w:val="0"/>
              <w:marBottom w:val="0"/>
              <w:divBdr>
                <w:top w:val="none" w:sz="0" w:space="0" w:color="auto"/>
                <w:left w:val="none" w:sz="0" w:space="0" w:color="auto"/>
                <w:bottom w:val="none" w:sz="0" w:space="0" w:color="auto"/>
                <w:right w:val="none" w:sz="0" w:space="0" w:color="auto"/>
              </w:divBdr>
              <w:divsChild>
                <w:div w:id="1386250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305913">
          <w:marLeft w:val="0"/>
          <w:marRight w:val="0"/>
          <w:marTop w:val="0"/>
          <w:marBottom w:val="0"/>
          <w:divBdr>
            <w:top w:val="none" w:sz="0" w:space="0" w:color="auto"/>
            <w:left w:val="none" w:sz="0" w:space="0" w:color="auto"/>
            <w:bottom w:val="none" w:sz="0" w:space="0" w:color="auto"/>
            <w:right w:val="none" w:sz="0" w:space="0" w:color="auto"/>
          </w:divBdr>
          <w:divsChild>
            <w:div w:id="1505048655">
              <w:marLeft w:val="0"/>
              <w:marRight w:val="0"/>
              <w:marTop w:val="0"/>
              <w:marBottom w:val="0"/>
              <w:divBdr>
                <w:top w:val="none" w:sz="0" w:space="0" w:color="auto"/>
                <w:left w:val="none" w:sz="0" w:space="0" w:color="auto"/>
                <w:bottom w:val="none" w:sz="0" w:space="0" w:color="auto"/>
                <w:right w:val="none" w:sz="0" w:space="0" w:color="auto"/>
              </w:divBdr>
              <w:divsChild>
                <w:div w:id="56669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307935">
          <w:marLeft w:val="0"/>
          <w:marRight w:val="0"/>
          <w:marTop w:val="0"/>
          <w:marBottom w:val="0"/>
          <w:divBdr>
            <w:top w:val="none" w:sz="0" w:space="0" w:color="auto"/>
            <w:left w:val="none" w:sz="0" w:space="0" w:color="auto"/>
            <w:bottom w:val="none" w:sz="0" w:space="0" w:color="auto"/>
            <w:right w:val="none" w:sz="0" w:space="0" w:color="auto"/>
          </w:divBdr>
          <w:divsChild>
            <w:div w:id="1840925304">
              <w:marLeft w:val="0"/>
              <w:marRight w:val="0"/>
              <w:marTop w:val="0"/>
              <w:marBottom w:val="0"/>
              <w:divBdr>
                <w:top w:val="none" w:sz="0" w:space="0" w:color="auto"/>
                <w:left w:val="none" w:sz="0" w:space="0" w:color="auto"/>
                <w:bottom w:val="none" w:sz="0" w:space="0" w:color="auto"/>
                <w:right w:val="none" w:sz="0" w:space="0" w:color="auto"/>
              </w:divBdr>
              <w:divsChild>
                <w:div w:id="1964992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318950">
          <w:marLeft w:val="0"/>
          <w:marRight w:val="0"/>
          <w:marTop w:val="0"/>
          <w:marBottom w:val="0"/>
          <w:divBdr>
            <w:top w:val="none" w:sz="0" w:space="0" w:color="auto"/>
            <w:left w:val="none" w:sz="0" w:space="0" w:color="auto"/>
            <w:bottom w:val="none" w:sz="0" w:space="0" w:color="auto"/>
            <w:right w:val="none" w:sz="0" w:space="0" w:color="auto"/>
          </w:divBdr>
          <w:divsChild>
            <w:div w:id="59720835">
              <w:marLeft w:val="0"/>
              <w:marRight w:val="0"/>
              <w:marTop w:val="0"/>
              <w:marBottom w:val="0"/>
              <w:divBdr>
                <w:top w:val="none" w:sz="0" w:space="0" w:color="auto"/>
                <w:left w:val="none" w:sz="0" w:space="0" w:color="auto"/>
                <w:bottom w:val="none" w:sz="0" w:space="0" w:color="auto"/>
                <w:right w:val="none" w:sz="0" w:space="0" w:color="auto"/>
              </w:divBdr>
              <w:divsChild>
                <w:div w:id="59252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37613">
          <w:marLeft w:val="0"/>
          <w:marRight w:val="0"/>
          <w:marTop w:val="0"/>
          <w:marBottom w:val="0"/>
          <w:divBdr>
            <w:top w:val="none" w:sz="0" w:space="0" w:color="auto"/>
            <w:left w:val="none" w:sz="0" w:space="0" w:color="auto"/>
            <w:bottom w:val="none" w:sz="0" w:space="0" w:color="auto"/>
            <w:right w:val="none" w:sz="0" w:space="0" w:color="auto"/>
          </w:divBdr>
          <w:divsChild>
            <w:div w:id="1131558075">
              <w:marLeft w:val="0"/>
              <w:marRight w:val="0"/>
              <w:marTop w:val="0"/>
              <w:marBottom w:val="0"/>
              <w:divBdr>
                <w:top w:val="none" w:sz="0" w:space="0" w:color="auto"/>
                <w:left w:val="none" w:sz="0" w:space="0" w:color="auto"/>
                <w:bottom w:val="none" w:sz="0" w:space="0" w:color="auto"/>
                <w:right w:val="none" w:sz="0" w:space="0" w:color="auto"/>
              </w:divBdr>
              <w:divsChild>
                <w:div w:id="19570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707221">
          <w:marLeft w:val="0"/>
          <w:marRight w:val="0"/>
          <w:marTop w:val="0"/>
          <w:marBottom w:val="0"/>
          <w:divBdr>
            <w:top w:val="none" w:sz="0" w:space="0" w:color="auto"/>
            <w:left w:val="none" w:sz="0" w:space="0" w:color="auto"/>
            <w:bottom w:val="none" w:sz="0" w:space="0" w:color="auto"/>
            <w:right w:val="none" w:sz="0" w:space="0" w:color="auto"/>
          </w:divBdr>
          <w:divsChild>
            <w:div w:id="409617501">
              <w:marLeft w:val="0"/>
              <w:marRight w:val="0"/>
              <w:marTop w:val="0"/>
              <w:marBottom w:val="0"/>
              <w:divBdr>
                <w:top w:val="none" w:sz="0" w:space="0" w:color="auto"/>
                <w:left w:val="none" w:sz="0" w:space="0" w:color="auto"/>
                <w:bottom w:val="none" w:sz="0" w:space="0" w:color="auto"/>
                <w:right w:val="none" w:sz="0" w:space="0" w:color="auto"/>
              </w:divBdr>
              <w:divsChild>
                <w:div w:id="141172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780253">
          <w:marLeft w:val="0"/>
          <w:marRight w:val="0"/>
          <w:marTop w:val="0"/>
          <w:marBottom w:val="0"/>
          <w:divBdr>
            <w:top w:val="none" w:sz="0" w:space="0" w:color="auto"/>
            <w:left w:val="none" w:sz="0" w:space="0" w:color="auto"/>
            <w:bottom w:val="none" w:sz="0" w:space="0" w:color="auto"/>
            <w:right w:val="none" w:sz="0" w:space="0" w:color="auto"/>
          </w:divBdr>
          <w:divsChild>
            <w:div w:id="1820003133">
              <w:marLeft w:val="0"/>
              <w:marRight w:val="0"/>
              <w:marTop w:val="0"/>
              <w:marBottom w:val="0"/>
              <w:divBdr>
                <w:top w:val="none" w:sz="0" w:space="0" w:color="auto"/>
                <w:left w:val="none" w:sz="0" w:space="0" w:color="auto"/>
                <w:bottom w:val="none" w:sz="0" w:space="0" w:color="auto"/>
                <w:right w:val="none" w:sz="0" w:space="0" w:color="auto"/>
              </w:divBdr>
              <w:divsChild>
                <w:div w:id="1689520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891683">
          <w:marLeft w:val="0"/>
          <w:marRight w:val="0"/>
          <w:marTop w:val="0"/>
          <w:marBottom w:val="0"/>
          <w:divBdr>
            <w:top w:val="none" w:sz="0" w:space="0" w:color="auto"/>
            <w:left w:val="none" w:sz="0" w:space="0" w:color="auto"/>
            <w:bottom w:val="none" w:sz="0" w:space="0" w:color="auto"/>
            <w:right w:val="none" w:sz="0" w:space="0" w:color="auto"/>
          </w:divBdr>
          <w:divsChild>
            <w:div w:id="1784416914">
              <w:marLeft w:val="0"/>
              <w:marRight w:val="0"/>
              <w:marTop w:val="0"/>
              <w:marBottom w:val="0"/>
              <w:divBdr>
                <w:top w:val="none" w:sz="0" w:space="0" w:color="auto"/>
                <w:left w:val="none" w:sz="0" w:space="0" w:color="auto"/>
                <w:bottom w:val="none" w:sz="0" w:space="0" w:color="auto"/>
                <w:right w:val="none" w:sz="0" w:space="0" w:color="auto"/>
              </w:divBdr>
              <w:divsChild>
                <w:div w:id="569928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530403">
          <w:marLeft w:val="0"/>
          <w:marRight w:val="0"/>
          <w:marTop w:val="0"/>
          <w:marBottom w:val="0"/>
          <w:divBdr>
            <w:top w:val="none" w:sz="0" w:space="0" w:color="auto"/>
            <w:left w:val="none" w:sz="0" w:space="0" w:color="auto"/>
            <w:bottom w:val="none" w:sz="0" w:space="0" w:color="auto"/>
            <w:right w:val="none" w:sz="0" w:space="0" w:color="auto"/>
          </w:divBdr>
          <w:divsChild>
            <w:div w:id="314922645">
              <w:marLeft w:val="0"/>
              <w:marRight w:val="0"/>
              <w:marTop w:val="0"/>
              <w:marBottom w:val="0"/>
              <w:divBdr>
                <w:top w:val="none" w:sz="0" w:space="0" w:color="auto"/>
                <w:left w:val="none" w:sz="0" w:space="0" w:color="auto"/>
                <w:bottom w:val="none" w:sz="0" w:space="0" w:color="auto"/>
                <w:right w:val="none" w:sz="0" w:space="0" w:color="auto"/>
              </w:divBdr>
              <w:divsChild>
                <w:div w:id="2034530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769885">
          <w:marLeft w:val="0"/>
          <w:marRight w:val="0"/>
          <w:marTop w:val="0"/>
          <w:marBottom w:val="0"/>
          <w:divBdr>
            <w:top w:val="none" w:sz="0" w:space="0" w:color="auto"/>
            <w:left w:val="none" w:sz="0" w:space="0" w:color="auto"/>
            <w:bottom w:val="none" w:sz="0" w:space="0" w:color="auto"/>
            <w:right w:val="none" w:sz="0" w:space="0" w:color="auto"/>
          </w:divBdr>
          <w:divsChild>
            <w:div w:id="295306304">
              <w:marLeft w:val="0"/>
              <w:marRight w:val="0"/>
              <w:marTop w:val="0"/>
              <w:marBottom w:val="0"/>
              <w:divBdr>
                <w:top w:val="none" w:sz="0" w:space="0" w:color="auto"/>
                <w:left w:val="none" w:sz="0" w:space="0" w:color="auto"/>
                <w:bottom w:val="none" w:sz="0" w:space="0" w:color="auto"/>
                <w:right w:val="none" w:sz="0" w:space="0" w:color="auto"/>
              </w:divBdr>
              <w:divsChild>
                <w:div w:id="1348677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591002">
          <w:marLeft w:val="0"/>
          <w:marRight w:val="0"/>
          <w:marTop w:val="0"/>
          <w:marBottom w:val="0"/>
          <w:divBdr>
            <w:top w:val="none" w:sz="0" w:space="0" w:color="auto"/>
            <w:left w:val="none" w:sz="0" w:space="0" w:color="auto"/>
            <w:bottom w:val="none" w:sz="0" w:space="0" w:color="auto"/>
            <w:right w:val="none" w:sz="0" w:space="0" w:color="auto"/>
          </w:divBdr>
          <w:divsChild>
            <w:div w:id="1053891364">
              <w:marLeft w:val="0"/>
              <w:marRight w:val="0"/>
              <w:marTop w:val="0"/>
              <w:marBottom w:val="0"/>
              <w:divBdr>
                <w:top w:val="none" w:sz="0" w:space="0" w:color="auto"/>
                <w:left w:val="none" w:sz="0" w:space="0" w:color="auto"/>
                <w:bottom w:val="none" w:sz="0" w:space="0" w:color="auto"/>
                <w:right w:val="none" w:sz="0" w:space="0" w:color="auto"/>
              </w:divBdr>
              <w:divsChild>
                <w:div w:id="1192066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336376">
      <w:bodyDiv w:val="1"/>
      <w:marLeft w:val="0"/>
      <w:marRight w:val="0"/>
      <w:marTop w:val="0"/>
      <w:marBottom w:val="0"/>
      <w:divBdr>
        <w:top w:val="none" w:sz="0" w:space="0" w:color="auto"/>
        <w:left w:val="none" w:sz="0" w:space="0" w:color="auto"/>
        <w:bottom w:val="none" w:sz="0" w:space="0" w:color="auto"/>
        <w:right w:val="none" w:sz="0" w:space="0" w:color="auto"/>
      </w:divBdr>
    </w:div>
    <w:div w:id="21471602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20944/preprints202603.0683.v1" TargetMode="External"/><Relationship Id="rId18" Type="http://schemas.openxmlformats.org/officeDocument/2006/relationships/hyperlink" Target="https://doi.org/10.4236/epe.2026.184010" TargetMode="External"/><Relationship Id="rId26" Type="http://schemas.openxmlformats.org/officeDocument/2006/relationships/hyperlink" Target="https://doi.org/10.55092/let20260007" TargetMode="External"/><Relationship Id="rId39" Type="http://schemas.openxmlformats.org/officeDocument/2006/relationships/hyperlink" Target="https://doi.org/10.1016/j.aglobe.2025.100133" TargetMode="External"/><Relationship Id="rId21" Type="http://schemas.openxmlformats.org/officeDocument/2006/relationships/hyperlink" Target="https://doi.org/10.1111/1758-5899.70024" TargetMode="External"/><Relationship Id="rId34" Type="http://schemas.openxmlformats.org/officeDocument/2006/relationships/hyperlink" Target="https://doi.org/10.1163/24686042-12340120" TargetMode="External"/><Relationship Id="rId42" Type="http://schemas.openxmlformats.org/officeDocument/2006/relationships/hyperlink" Target="https://doi.org/10.1016/j.resglo.2026.100335" TargetMode="External"/><Relationship Id="rId47" Type="http://schemas.openxmlformats.org/officeDocument/2006/relationships/hyperlink" Target="https://doi.org/10.59814/resofro.2026.6(2)1075" TargetMode="External"/><Relationship Id="rId50"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017/ajil.2024.26" TargetMode="External"/><Relationship Id="rId29" Type="http://schemas.openxmlformats.org/officeDocument/2006/relationships/hyperlink" Target="https://doi.org/10.5281/zenodo.18776634" TargetMode="External"/><Relationship Id="rId11" Type="http://schemas.openxmlformats.org/officeDocument/2006/relationships/hyperlink" Target="https://doi.org/10.1007/s40812-025-00370-3" TargetMode="External"/><Relationship Id="rId24" Type="http://schemas.openxmlformats.org/officeDocument/2006/relationships/hyperlink" Target="https://doi.org/10.37155/2972-483x-0401-1" TargetMode="External"/><Relationship Id="rId32" Type="http://schemas.openxmlformats.org/officeDocument/2006/relationships/hyperlink" Target="https://doi.org/10.1007/s40802-024-00257-5" TargetMode="External"/><Relationship Id="rId37" Type="http://schemas.openxmlformats.org/officeDocument/2006/relationships/hyperlink" Target="https://doi.org/10.1080/0960085x.2024.2345867" TargetMode="External"/><Relationship Id="rId40" Type="http://schemas.openxmlformats.org/officeDocument/2006/relationships/hyperlink" Target="https://doi.org/10.1017/s0922156526100715" TargetMode="External"/><Relationship Id="rId45" Type="http://schemas.openxmlformats.org/officeDocument/2006/relationships/hyperlink" Target="https://doi.org/10.4018/979-8-3373-8510-5.ch008"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doi.org/10.59022/ijlp.590" TargetMode="External"/><Relationship Id="rId19" Type="http://schemas.openxmlformats.org/officeDocument/2006/relationships/hyperlink" Target="https://doi.org/10.1007/s13347-026-01065-w" TargetMode="External"/><Relationship Id="rId31" Type="http://schemas.openxmlformats.org/officeDocument/2006/relationships/hyperlink" Target="https://doi.org/10.53573/rhimrj.2025.v12n9.012" TargetMode="External"/><Relationship Id="rId44" Type="http://schemas.openxmlformats.org/officeDocument/2006/relationships/hyperlink" Target="https://doi.org/10.3390/computers14120520" TargetMode="External"/><Relationship Id="rId52"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norsalam@stai-alyasini.ac.id" TargetMode="External"/><Relationship Id="rId14" Type="http://schemas.openxmlformats.org/officeDocument/2006/relationships/hyperlink" Target="https://doi.org/10.5281/zenodo.17699957" TargetMode="External"/><Relationship Id="rId22" Type="http://schemas.openxmlformats.org/officeDocument/2006/relationships/hyperlink" Target="https://doi.org/10.1093/isagsq/ksag003" TargetMode="External"/><Relationship Id="rId27" Type="http://schemas.openxmlformats.org/officeDocument/2006/relationships/hyperlink" Target="https://doi.org/10.1016/j.jafr.2025.102245" TargetMode="External"/><Relationship Id="rId30" Type="http://schemas.openxmlformats.org/officeDocument/2006/relationships/hyperlink" Target="https://doi.org/10.1016/j.jjimei.2026.100403" TargetMode="External"/><Relationship Id="rId35" Type="http://schemas.openxmlformats.org/officeDocument/2006/relationships/hyperlink" Target="https://doi.org/10.5281/zenodo.18748275" TargetMode="External"/><Relationship Id="rId43" Type="http://schemas.openxmlformats.org/officeDocument/2006/relationships/hyperlink" Target="https://doi.org/10.5281/zenodo.19064602" TargetMode="External"/><Relationship Id="rId48" Type="http://schemas.openxmlformats.org/officeDocument/2006/relationships/header" Target="header1.xml"/><Relationship Id="rId8" Type="http://schemas.openxmlformats.org/officeDocument/2006/relationships/hyperlink" Target="mailto:ririn@unugiri.ac.id" TargetMode="External"/><Relationship Id="rId51" Type="http://schemas.openxmlformats.org/officeDocument/2006/relationships/header" Target="header2.xml"/><Relationship Id="rId3" Type="http://schemas.openxmlformats.org/officeDocument/2006/relationships/styles" Target="styles.xml"/><Relationship Id="rId12" Type="http://schemas.openxmlformats.org/officeDocument/2006/relationships/hyperlink" Target="https://doi.org/10.1016/j.ijheatmasstransfer.2026.128765" TargetMode="External"/><Relationship Id="rId17" Type="http://schemas.openxmlformats.org/officeDocument/2006/relationships/hyperlink" Target="https://doi.org/10.1080/02680939.2026.2646218" TargetMode="External"/><Relationship Id="rId25" Type="http://schemas.openxmlformats.org/officeDocument/2006/relationships/hyperlink" Target="https://doi.org/10.24251/hicss.2026.288" TargetMode="External"/><Relationship Id="rId33" Type="http://schemas.openxmlformats.org/officeDocument/2006/relationships/hyperlink" Target="https://doi.org/10.1093/9780198972877.003.0039" TargetMode="External"/><Relationship Id="rId38" Type="http://schemas.openxmlformats.org/officeDocument/2006/relationships/hyperlink" Target="https://doi.org/10.1016/j.grets.2026.100355" TargetMode="External"/><Relationship Id="rId46" Type="http://schemas.openxmlformats.org/officeDocument/2006/relationships/hyperlink" Target="https://doi.org/10.1177/21582440251409073" TargetMode="External"/><Relationship Id="rId20" Type="http://schemas.openxmlformats.org/officeDocument/2006/relationships/hyperlink" Target="https://doi.org/10.1365/s43439-025-00151-7" TargetMode="External"/><Relationship Id="rId41" Type="http://schemas.openxmlformats.org/officeDocument/2006/relationships/hyperlink" Target="https://doi.org/10.63056/acad.004.04.1157"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007/s00146-026-02921-1" TargetMode="External"/><Relationship Id="rId23" Type="http://schemas.openxmlformats.org/officeDocument/2006/relationships/hyperlink" Target="https://doi.org/10.1057/s41599-026-07605-1" TargetMode="External"/><Relationship Id="rId28" Type="http://schemas.openxmlformats.org/officeDocument/2006/relationships/hyperlink" Target="https://doi.org/10.1007/s40647-025-00445-4" TargetMode="External"/><Relationship Id="rId36" Type="http://schemas.openxmlformats.org/officeDocument/2006/relationships/hyperlink" Target="https://doi.org/10.5281/zenodo.18748987" TargetMode="External"/><Relationship Id="rId4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F7082F-3AF6-48DF-954D-75EAA6ACC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28</Pages>
  <Words>11430</Words>
  <Characters>65152</Characters>
  <Application>Microsoft Office Word</Application>
  <DocSecurity>0</DocSecurity>
  <Lines>542</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SUPERUSER</dc:creator>
  <cp:keywords/>
  <dc:description/>
  <cp:lastModifiedBy>Ha</cp:lastModifiedBy>
  <cp:revision>18</cp:revision>
  <cp:lastPrinted>2026-08-05T01:13:00Z</cp:lastPrinted>
  <dcterms:created xsi:type="dcterms:W3CDTF">2026-07-19T01:19:00Z</dcterms:created>
  <dcterms:modified xsi:type="dcterms:W3CDTF">2026-08-07T01:52:00Z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f714099d-3025-41b3-9a06-b4bf09f0d38e</vt:lpwstr>
  </property>
</Properties>
</file>